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FFD11" w14:textId="77777777" w:rsidR="00CD0F9F" w:rsidRDefault="00CD0F9F" w:rsidP="00CD0F9F">
      <w:pPr>
        <w:jc w:val="center"/>
        <w:rPr>
          <w:b/>
          <w:color w:val="ED7D31" w:themeColor="accent2"/>
          <w:sz w:val="60"/>
          <w:szCs w:val="60"/>
        </w:rPr>
      </w:pPr>
    </w:p>
    <w:p w14:paraId="283C504A" w14:textId="77777777" w:rsidR="00CD0F9F" w:rsidRDefault="00CD0F9F" w:rsidP="00CD0F9F">
      <w:pPr>
        <w:jc w:val="center"/>
        <w:rPr>
          <w:b/>
          <w:color w:val="ED7D31" w:themeColor="accent2"/>
          <w:sz w:val="60"/>
          <w:szCs w:val="60"/>
        </w:rPr>
      </w:pPr>
    </w:p>
    <w:p w14:paraId="2CE0FBEE" w14:textId="77777777" w:rsidR="00CD0F9F" w:rsidRDefault="00CD0F9F" w:rsidP="00CD0F9F">
      <w:pPr>
        <w:jc w:val="center"/>
        <w:rPr>
          <w:b/>
          <w:color w:val="ED7D31" w:themeColor="accent2"/>
          <w:sz w:val="60"/>
          <w:szCs w:val="60"/>
        </w:rPr>
      </w:pPr>
    </w:p>
    <w:p w14:paraId="4E2D9328" w14:textId="77777777" w:rsidR="00CD0F9F" w:rsidRDefault="00CD0F9F" w:rsidP="00CD0F9F">
      <w:pPr>
        <w:jc w:val="center"/>
        <w:rPr>
          <w:b/>
          <w:color w:val="ED7D31" w:themeColor="accent2"/>
          <w:sz w:val="60"/>
          <w:szCs w:val="60"/>
        </w:rPr>
      </w:pPr>
    </w:p>
    <w:p w14:paraId="45733A20" w14:textId="77777777" w:rsidR="00BD66BA" w:rsidRDefault="00BD66BA" w:rsidP="00BD66BA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14:paraId="7089BA3C" w14:textId="77777777" w:rsidR="00CD0F9F" w:rsidRDefault="00CD0F9F" w:rsidP="00CD0F9F">
      <w:pPr>
        <w:jc w:val="center"/>
        <w:rPr>
          <w:b/>
          <w:sz w:val="40"/>
          <w:szCs w:val="40"/>
        </w:rPr>
      </w:pPr>
      <w:r w:rsidRPr="00CD0F9F">
        <w:rPr>
          <w:b/>
          <w:sz w:val="40"/>
          <w:szCs w:val="40"/>
        </w:rPr>
        <w:t>Business Case</w:t>
      </w:r>
    </w:p>
    <w:p w14:paraId="6EBA7D1D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035EC257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6552405F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1F7C6244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01D297CF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07169028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07A50B9B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61BADED6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5903A8C3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7C6E1ECC" w14:textId="77777777" w:rsidR="00CD0F9F" w:rsidRDefault="00CD0F9F" w:rsidP="00CD0F9F">
      <w:pPr>
        <w:jc w:val="center"/>
        <w:rPr>
          <w:b/>
          <w:sz w:val="40"/>
          <w:szCs w:val="40"/>
        </w:rPr>
      </w:pPr>
    </w:p>
    <w:p w14:paraId="27A06FC6" w14:textId="77777777" w:rsidR="00CD0F9F" w:rsidRDefault="00CD0F9F" w:rsidP="00CD0F9F">
      <w:pPr>
        <w:pStyle w:val="Heading1"/>
        <w:numPr>
          <w:ilvl w:val="0"/>
          <w:numId w:val="0"/>
        </w:numPr>
        <w:rPr>
          <w:b/>
          <w:kern w:val="0"/>
          <w:sz w:val="40"/>
          <w:szCs w:val="40"/>
        </w:rPr>
      </w:pPr>
    </w:p>
    <w:p w14:paraId="70CB3B9C" w14:textId="77777777" w:rsidR="00A13CC7" w:rsidRPr="00CD0F9F" w:rsidRDefault="00A13CC7" w:rsidP="00A13CC7">
      <w:pPr>
        <w:pStyle w:val="Heading1"/>
        <w:numPr>
          <w:ilvl w:val="0"/>
          <w:numId w:val="0"/>
        </w:numPr>
        <w:jc w:val="center"/>
        <w:rPr>
          <w:rFonts w:cs="Arial"/>
          <w:b/>
          <w:sz w:val="28"/>
          <w:szCs w:val="28"/>
        </w:rPr>
      </w:pPr>
      <w:r w:rsidRPr="00CD0F9F">
        <w:rPr>
          <w:rFonts w:cs="Arial"/>
          <w:b/>
          <w:sz w:val="28"/>
          <w:szCs w:val="28"/>
        </w:rPr>
        <w:lastRenderedPageBreak/>
        <w:t>Business Case</w:t>
      </w:r>
    </w:p>
    <w:p w14:paraId="3FBACF33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BD66BA">
        <w:rPr>
          <w:rFonts w:cs="Arial"/>
          <w:b/>
          <w:bCs/>
          <w:szCs w:val="24"/>
        </w:rPr>
        <w:t>Purpose / Overview</w:t>
      </w:r>
      <w:r w:rsidRPr="00CD0F9F">
        <w:rPr>
          <w:rFonts w:cs="Arial"/>
          <w:b/>
          <w:bCs/>
          <w:color w:val="000000"/>
          <w:szCs w:val="24"/>
        </w:rPr>
        <w:t xml:space="preserve"> </w:t>
      </w:r>
    </w:p>
    <w:p w14:paraId="7CABB75B" w14:textId="77777777" w:rsidR="00A13CC7" w:rsidRPr="00CD0F9F" w:rsidRDefault="00A13CC7" w:rsidP="00A13CC7">
      <w:pPr>
        <w:rPr>
          <w:rFonts w:cs="Arial"/>
          <w:szCs w:val="24"/>
        </w:rPr>
      </w:pPr>
    </w:p>
    <w:p w14:paraId="62A62A79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Justification for undertaking the changes necessary to embed</w:t>
      </w:r>
      <w:r>
        <w:rPr>
          <w:rFonts w:cs="Arial"/>
          <w:color w:val="000000"/>
          <w:szCs w:val="24"/>
        </w:rPr>
        <w:t xml:space="preserve"> Contract &amp; Supplier Management</w:t>
      </w:r>
      <w:r w:rsidRPr="00CD0F9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(</w:t>
      </w:r>
      <w:r w:rsidRPr="00CD0F9F">
        <w:rPr>
          <w:rFonts w:cs="Arial"/>
          <w:color w:val="000000"/>
          <w:szCs w:val="24"/>
        </w:rPr>
        <w:t>C</w:t>
      </w:r>
      <w:r>
        <w:rPr>
          <w:rFonts w:cs="Arial"/>
          <w:color w:val="000000"/>
          <w:szCs w:val="24"/>
        </w:rPr>
        <w:t>&amp;</w:t>
      </w:r>
      <w:r w:rsidRPr="00CD0F9F">
        <w:rPr>
          <w:rFonts w:cs="Arial"/>
          <w:color w:val="000000"/>
          <w:szCs w:val="24"/>
        </w:rPr>
        <w:t>SM</w:t>
      </w:r>
      <w:r>
        <w:rPr>
          <w:rFonts w:cs="Arial"/>
          <w:color w:val="000000"/>
          <w:szCs w:val="24"/>
        </w:rPr>
        <w:t>)</w:t>
      </w:r>
    </w:p>
    <w:p w14:paraId="1BB84D15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Background and previous issues caused by a reactive approach to </w:t>
      </w:r>
      <w:r>
        <w:rPr>
          <w:rFonts w:cs="Arial"/>
          <w:color w:val="000000"/>
          <w:szCs w:val="24"/>
        </w:rPr>
        <w:t>C&amp;SM</w:t>
      </w:r>
    </w:p>
    <w:p w14:paraId="0871F267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Benefits gained from an embedded </w:t>
      </w:r>
      <w:r>
        <w:rPr>
          <w:rFonts w:cs="Arial"/>
          <w:color w:val="000000"/>
          <w:szCs w:val="24"/>
        </w:rPr>
        <w:t>C&amp;SM</w:t>
      </w:r>
      <w:r w:rsidRPr="00CD0F9F">
        <w:rPr>
          <w:rFonts w:cs="Arial"/>
          <w:color w:val="000000"/>
          <w:szCs w:val="24"/>
        </w:rPr>
        <w:t xml:space="preserve"> approach</w:t>
      </w:r>
    </w:p>
    <w:p w14:paraId="166D0FBE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Avoiding an ‘arms-length’ approach and building collaborative relationships with key suppliers</w:t>
      </w:r>
    </w:p>
    <w:p w14:paraId="7101B9F2" w14:textId="77777777" w:rsidR="00A13CC7" w:rsidRPr="00CD0F9F" w:rsidRDefault="00A13CC7" w:rsidP="00A13CC7">
      <w:pPr>
        <w:rPr>
          <w:rFonts w:cs="Arial"/>
          <w:szCs w:val="24"/>
        </w:rPr>
      </w:pPr>
    </w:p>
    <w:p w14:paraId="6A477584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 xml:space="preserve">Executive summary </w:t>
      </w:r>
    </w:p>
    <w:p w14:paraId="52744BDA" w14:textId="77777777" w:rsidR="00A13CC7" w:rsidRPr="00CD0F9F" w:rsidRDefault="00A13CC7" w:rsidP="00A13CC7">
      <w:pPr>
        <w:rPr>
          <w:rFonts w:cs="Arial"/>
          <w:szCs w:val="24"/>
        </w:rPr>
      </w:pPr>
    </w:p>
    <w:p w14:paraId="528ED08C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Highlight the key points in the business case</w:t>
      </w:r>
    </w:p>
    <w:p w14:paraId="4BE36958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Benefits (many may be added value and cost avoidance) and the return on investment (ROI)</w:t>
      </w:r>
    </w:p>
    <w:p w14:paraId="6E4D30AE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Consistent and proportional approach </w:t>
      </w:r>
    </w:p>
    <w:p w14:paraId="225169A4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Link to organisation’s strategic plan</w:t>
      </w:r>
    </w:p>
    <w:p w14:paraId="284E77BF" w14:textId="77777777" w:rsidR="00A13CC7" w:rsidRPr="00484442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Style w:val="Hyperlink"/>
          <w:rFonts w:cs="Arial"/>
          <w:b/>
          <w:bCs/>
          <w:color w:val="auto"/>
          <w:szCs w:val="24"/>
          <w:u w:val="none"/>
        </w:rPr>
      </w:pPr>
      <w:r w:rsidRPr="00CD0F9F">
        <w:rPr>
          <w:rFonts w:cs="Arial"/>
          <w:color w:val="000000"/>
          <w:szCs w:val="24"/>
        </w:rPr>
        <w:t>Risk of not implementing C</w:t>
      </w:r>
      <w:r>
        <w:rPr>
          <w:rFonts w:cs="Arial"/>
          <w:color w:val="000000"/>
          <w:szCs w:val="24"/>
        </w:rPr>
        <w:t>&amp;</w:t>
      </w:r>
      <w:r w:rsidRPr="00CD0F9F">
        <w:rPr>
          <w:rFonts w:cs="Arial"/>
          <w:color w:val="000000"/>
          <w:szCs w:val="24"/>
        </w:rPr>
        <w:t xml:space="preserve">SM (including legal risks). Please review </w:t>
      </w:r>
      <w:r w:rsidRPr="00484442">
        <w:rPr>
          <w:rFonts w:cs="Arial"/>
          <w:b/>
          <w:bCs/>
          <w:szCs w:val="24"/>
        </w:rPr>
        <w:fldChar w:fldCharType="begin"/>
      </w:r>
      <w:r w:rsidRPr="00484442">
        <w:rPr>
          <w:rFonts w:cs="Arial"/>
          <w:b/>
          <w:bCs/>
          <w:szCs w:val="24"/>
        </w:rPr>
        <w:instrText>HYPERLINK "https://www.procurementjourney.scot/node/352"</w:instrText>
      </w:r>
      <w:r w:rsidRPr="00484442">
        <w:rPr>
          <w:rFonts w:cs="Arial"/>
          <w:b/>
          <w:bCs/>
          <w:szCs w:val="24"/>
        </w:rPr>
      </w:r>
      <w:r w:rsidRPr="00484442">
        <w:rPr>
          <w:rFonts w:cs="Arial"/>
          <w:b/>
          <w:bCs/>
          <w:szCs w:val="24"/>
        </w:rPr>
        <w:fldChar w:fldCharType="separate"/>
      </w:r>
      <w:r w:rsidRPr="00484442">
        <w:rPr>
          <w:rStyle w:val="Hyperlink"/>
          <w:rFonts w:cs="Arial"/>
          <w:b/>
          <w:bCs/>
          <w:color w:val="0070C0"/>
          <w:szCs w:val="24"/>
        </w:rPr>
        <w:t>Risk Management.</w:t>
      </w:r>
    </w:p>
    <w:p w14:paraId="65549295" w14:textId="77777777" w:rsidR="00A13CC7" w:rsidRPr="00484442" w:rsidRDefault="00A13CC7" w:rsidP="00A13CC7">
      <w:pPr>
        <w:rPr>
          <w:rStyle w:val="Hyperlink"/>
          <w:rFonts w:cs="Arial"/>
          <w:b/>
          <w:bCs/>
          <w:color w:val="auto"/>
          <w:szCs w:val="24"/>
          <w:u w:val="none"/>
        </w:rPr>
      </w:pPr>
    </w:p>
    <w:p w14:paraId="788840CE" w14:textId="77777777" w:rsidR="00A13CC7" w:rsidRPr="00484442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szCs w:val="24"/>
        </w:rPr>
      </w:pPr>
      <w:r w:rsidRPr="00484442">
        <w:rPr>
          <w:rStyle w:val="Hyperlink"/>
          <w:rFonts w:cs="Arial"/>
          <w:b/>
          <w:bCs/>
          <w:color w:val="auto"/>
          <w:szCs w:val="24"/>
          <w:u w:val="none"/>
        </w:rPr>
        <w:t>Rea</w:t>
      </w:r>
      <w:r w:rsidRPr="00484442">
        <w:rPr>
          <w:rFonts w:cs="Arial"/>
          <w:b/>
          <w:bCs/>
          <w:szCs w:val="24"/>
        </w:rPr>
        <w:fldChar w:fldCharType="end"/>
      </w:r>
      <w:r w:rsidRPr="00484442">
        <w:rPr>
          <w:rFonts w:cs="Arial"/>
          <w:b/>
          <w:bCs/>
          <w:szCs w:val="24"/>
        </w:rPr>
        <w:t xml:space="preserve">sons </w:t>
      </w:r>
    </w:p>
    <w:p w14:paraId="1E2B2782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Cs/>
          <w:color w:val="000000"/>
          <w:szCs w:val="24"/>
        </w:rPr>
      </w:pPr>
    </w:p>
    <w:p w14:paraId="789765B0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Effective performance monitoring of </w:t>
      </w:r>
      <w:r>
        <w:rPr>
          <w:rFonts w:cs="Arial"/>
          <w:color w:val="000000"/>
          <w:szCs w:val="24"/>
        </w:rPr>
        <w:t xml:space="preserve">high value or high risk </w:t>
      </w:r>
      <w:r w:rsidRPr="00CD0F9F">
        <w:rPr>
          <w:rFonts w:cs="Arial"/>
          <w:color w:val="000000"/>
          <w:szCs w:val="24"/>
        </w:rPr>
        <w:t xml:space="preserve">contracts </w:t>
      </w:r>
    </w:p>
    <w:p w14:paraId="63250B5E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Mitigating risk due to non-performance and potential reputational risk (can you provide any historical examples from your organisation?)</w:t>
      </w:r>
    </w:p>
    <w:p w14:paraId="1F320DDC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Ensuring savings and benefits are realised and additional costs avoided</w:t>
      </w:r>
    </w:p>
    <w:p w14:paraId="5E4A7C4C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Driving service improvements</w:t>
      </w:r>
    </w:p>
    <w:p w14:paraId="6A8F6578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Fundamental to deliver business objectives</w:t>
      </w:r>
    </w:p>
    <w:p w14:paraId="1A34A215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Promoting innovation</w:t>
      </w:r>
    </w:p>
    <w:p w14:paraId="703AD246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Turning uncoordinated and reactive management to planned and proactive contract management</w:t>
      </w:r>
    </w:p>
    <w:p w14:paraId="1BA1AEAF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Business continuity / exit strategy</w:t>
      </w:r>
    </w:p>
    <w:p w14:paraId="24B72EBE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Demand management</w:t>
      </w:r>
    </w:p>
    <w:p w14:paraId="2288E739" w14:textId="77777777" w:rsidR="00A13CC7" w:rsidRPr="00CD0F9F" w:rsidRDefault="00A13CC7" w:rsidP="00A13CC7">
      <w:pPr>
        <w:pStyle w:val="Heading2"/>
        <w:numPr>
          <w:ilvl w:val="0"/>
          <w:numId w:val="0"/>
        </w:numPr>
        <w:ind w:left="540"/>
        <w:rPr>
          <w:rFonts w:cs="Arial"/>
          <w:color w:val="000000"/>
          <w:szCs w:val="24"/>
        </w:rPr>
      </w:pPr>
    </w:p>
    <w:p w14:paraId="791B3205" w14:textId="77777777" w:rsidR="00A13CC7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>Business options</w:t>
      </w:r>
    </w:p>
    <w:p w14:paraId="235AF27D" w14:textId="77777777" w:rsidR="00A13CC7" w:rsidRPr="00CD0F9F" w:rsidRDefault="00A13CC7" w:rsidP="00A13CC7"/>
    <w:p w14:paraId="731564DF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Board sponsorship with senior management ownership of business critical suppliers</w:t>
      </w:r>
    </w:p>
    <w:p w14:paraId="16CBB973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Outline the options considered and the benefits and disadvantages for each </w:t>
      </w:r>
    </w:p>
    <w:p w14:paraId="20961CC3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Consider governance across </w:t>
      </w:r>
      <w:r>
        <w:rPr>
          <w:rFonts w:cs="Arial"/>
          <w:color w:val="000000"/>
          <w:szCs w:val="24"/>
        </w:rPr>
        <w:t xml:space="preserve">the </w:t>
      </w:r>
      <w:r w:rsidRPr="00CD0F9F">
        <w:rPr>
          <w:rFonts w:cs="Arial"/>
          <w:color w:val="000000"/>
          <w:szCs w:val="24"/>
        </w:rPr>
        <w:t>organisation e.g. should it be a separate team, should contract managers sit in Procurement organisational structures for performance reporting</w:t>
      </w:r>
    </w:p>
    <w:p w14:paraId="39DA3038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Consider if due diligence of contracts is required prior to determining the resource required</w:t>
      </w:r>
    </w:p>
    <w:p w14:paraId="0278A3D9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Is a staged process required? e.g. Initially manage top tier contracts / suppliers until running smoothly and then increase the contract managers portfolio to second tier (please refer to Segmentation content within </w:t>
      </w:r>
      <w:r w:rsidRPr="00BD66BA">
        <w:rPr>
          <w:rFonts w:cs="Arial"/>
          <w:szCs w:val="24"/>
        </w:rPr>
        <w:t>Planning &amp; Governance</w:t>
      </w:r>
      <w:r w:rsidRPr="00CD0F9F">
        <w:rPr>
          <w:rFonts w:cs="Arial"/>
          <w:color w:val="000000"/>
          <w:szCs w:val="24"/>
        </w:rPr>
        <w:t>)</w:t>
      </w:r>
    </w:p>
    <w:p w14:paraId="69326497" w14:textId="77777777" w:rsidR="00A13CC7" w:rsidRPr="00CD0F9F" w:rsidRDefault="00A13CC7" w:rsidP="00A13CC7">
      <w:pPr>
        <w:pStyle w:val="Heading2"/>
        <w:widowControl w:val="0"/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Consider associated costs and resource requirements for each option (refer to Resource Planning content within </w:t>
      </w:r>
      <w:r w:rsidRPr="00BD66BA">
        <w:rPr>
          <w:rFonts w:cs="Arial"/>
          <w:szCs w:val="24"/>
        </w:rPr>
        <w:t>Planning &amp; Governance</w:t>
      </w:r>
      <w:r w:rsidRPr="00CD0F9F">
        <w:rPr>
          <w:rFonts w:cs="Arial"/>
          <w:color w:val="000000"/>
          <w:szCs w:val="24"/>
        </w:rPr>
        <w:t>)</w:t>
      </w:r>
    </w:p>
    <w:p w14:paraId="4D49EDDE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Staff costs (consider if efficiencies can be gained by having one contract manager managing similar suppliers or suppliers delivering to the same stakeholders)</w:t>
      </w:r>
    </w:p>
    <w:p w14:paraId="2837358B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Any resource required for due diligence of contracts</w:t>
      </w:r>
    </w:p>
    <w:p w14:paraId="690DCB71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Multi-disciplined input </w:t>
      </w:r>
    </w:p>
    <w:p w14:paraId="5142A5DC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Skills required</w:t>
      </w:r>
    </w:p>
    <w:p w14:paraId="04E1D3C6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Training costs</w:t>
      </w:r>
    </w:p>
    <w:p w14:paraId="66860727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Can resource be reallocated from current tasks e.g. from current reactive / fire fighting issues?</w:t>
      </w:r>
    </w:p>
    <w:p w14:paraId="3ECD5429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Tools to improve efficiency</w:t>
      </w:r>
    </w:p>
    <w:p w14:paraId="66227F6F" w14:textId="77777777" w:rsidR="00A13CC7" w:rsidRPr="00CD0F9F" w:rsidRDefault="00A13CC7" w:rsidP="00A13CC7">
      <w:pPr>
        <w:pStyle w:val="Heading3"/>
        <w:widowControl w:val="0"/>
        <w:numPr>
          <w:ilvl w:val="0"/>
          <w:numId w:val="8"/>
        </w:numPr>
        <w:autoSpaceDE w:val="0"/>
        <w:autoSpaceDN w:val="0"/>
        <w:adjustRightInd w:val="0"/>
        <w:ind w:left="1170" w:hanging="45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Mobilisation costs</w:t>
      </w:r>
    </w:p>
    <w:p w14:paraId="547FBDA8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439BCB4B" w14:textId="77777777" w:rsidR="00A13CC7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4AD2E05A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>Timescale</w:t>
      </w:r>
    </w:p>
    <w:p w14:paraId="16F5A9F3" w14:textId="77777777" w:rsidR="00A13CC7" w:rsidRPr="00CD0F9F" w:rsidRDefault="00A13CC7" w:rsidP="00A13CC7">
      <w:pPr>
        <w:pStyle w:val="Heading2"/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Consider mobilisation plan and timescales to implement change e.g. redefining staff roles, recruitment, training etc.</w:t>
      </w:r>
    </w:p>
    <w:p w14:paraId="69858D2A" w14:textId="77777777" w:rsidR="00A13CC7" w:rsidRPr="00CD0F9F" w:rsidRDefault="00A13CC7" w:rsidP="00A13CC7">
      <w:pPr>
        <w:rPr>
          <w:rFonts w:cs="Arial"/>
          <w:szCs w:val="24"/>
        </w:rPr>
      </w:pPr>
    </w:p>
    <w:p w14:paraId="438585CF" w14:textId="77777777" w:rsidR="00A13CC7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746B3235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>Key Stakeholders</w:t>
      </w:r>
    </w:p>
    <w:p w14:paraId="4F721D8E" w14:textId="77777777" w:rsidR="00A13CC7" w:rsidRPr="00CD0F9F" w:rsidRDefault="00A13CC7" w:rsidP="00A13CC7">
      <w:pPr>
        <w:pStyle w:val="Heading2"/>
        <w:widowControl w:val="0"/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 xml:space="preserve">  </w:t>
      </w:r>
      <w:r w:rsidRPr="00CD0F9F">
        <w:rPr>
          <w:rFonts w:cs="Arial"/>
          <w:color w:val="000000"/>
          <w:szCs w:val="24"/>
        </w:rPr>
        <w:t>Who are they? (based on areas of business impacted by suppliers and service provided)</w:t>
      </w:r>
    </w:p>
    <w:p w14:paraId="67E4A5A1" w14:textId="77777777" w:rsidR="00A13CC7" w:rsidRPr="00CD0F9F" w:rsidRDefault="00A13CC7" w:rsidP="00A13CC7">
      <w:pPr>
        <w:rPr>
          <w:rFonts w:cs="Arial"/>
          <w:szCs w:val="24"/>
        </w:rPr>
      </w:pPr>
    </w:p>
    <w:p w14:paraId="49B2F18C" w14:textId="77777777" w:rsidR="00A13CC7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70E95C73" w14:textId="77777777" w:rsidR="00A13CC7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438CAAC1" w14:textId="77777777" w:rsidR="00A13CC7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067F7513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>Investment appraisal</w:t>
      </w:r>
    </w:p>
    <w:p w14:paraId="62BB0DE7" w14:textId="77777777" w:rsidR="00A13CC7" w:rsidRPr="00CD0F9F" w:rsidRDefault="00A13CC7" w:rsidP="00A13CC7">
      <w:pPr>
        <w:pStyle w:val="Heading2"/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Compare the benefits to the costs (these may be added value) </w:t>
      </w:r>
      <w:r>
        <w:rPr>
          <w:rFonts w:cs="Arial"/>
          <w:color w:val="000000"/>
          <w:szCs w:val="24"/>
        </w:rPr>
        <w:t xml:space="preserve">e.g. </w:t>
      </w:r>
      <w:r w:rsidRPr="00CD0F9F">
        <w:rPr>
          <w:rFonts w:cs="Arial"/>
          <w:color w:val="000000"/>
          <w:szCs w:val="24"/>
        </w:rPr>
        <w:t xml:space="preserve">Can you commit to potentially saving ‘x’% of spend? </w:t>
      </w:r>
    </w:p>
    <w:p w14:paraId="3D113301" w14:textId="77777777" w:rsidR="00A13CC7" w:rsidRPr="00CD0F9F" w:rsidRDefault="00A13CC7" w:rsidP="00A13CC7">
      <w:pPr>
        <w:pStyle w:val="Heading2"/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Cost avoidance of ad-hoc problem resolution </w:t>
      </w:r>
    </w:p>
    <w:p w14:paraId="57DE9044" w14:textId="77777777" w:rsidR="00A13CC7" w:rsidRPr="00CD0F9F" w:rsidRDefault="00A13CC7" w:rsidP="00A13CC7">
      <w:pPr>
        <w:pStyle w:val="Heading2"/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 xml:space="preserve">Define the value of a project as an investment </w:t>
      </w:r>
    </w:p>
    <w:p w14:paraId="105177EB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</w:p>
    <w:p w14:paraId="20722579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 xml:space="preserve">Major risks </w:t>
      </w:r>
    </w:p>
    <w:p w14:paraId="56146826" w14:textId="77777777" w:rsidR="00A13CC7" w:rsidRPr="00CD0F9F" w:rsidRDefault="00A13CC7" w:rsidP="00A13CC7">
      <w:pPr>
        <w:pStyle w:val="Heading2"/>
        <w:widowControl w:val="0"/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cs="Arial"/>
          <w:color w:val="000000"/>
          <w:szCs w:val="24"/>
        </w:rPr>
      </w:pPr>
      <w:r w:rsidRPr="00CD0F9F">
        <w:rPr>
          <w:rFonts w:cs="Arial"/>
          <w:color w:val="000000"/>
          <w:szCs w:val="24"/>
        </w:rPr>
        <w:t>Summarise the risks and articulate likely impact and the recovery plans to mitigate impact</w:t>
      </w:r>
    </w:p>
    <w:p w14:paraId="67EC67CC" w14:textId="77777777" w:rsidR="00A13CC7" w:rsidRPr="00CD0F9F" w:rsidRDefault="00A13CC7" w:rsidP="00A13CC7">
      <w:pPr>
        <w:rPr>
          <w:rFonts w:cs="Arial"/>
          <w:szCs w:val="24"/>
        </w:rPr>
      </w:pPr>
    </w:p>
    <w:p w14:paraId="7356EFD2" w14:textId="77777777" w:rsidR="00A13CC7" w:rsidRPr="00CD0F9F" w:rsidRDefault="00A13CC7" w:rsidP="00A13CC7">
      <w:pPr>
        <w:pStyle w:val="Heading2"/>
        <w:numPr>
          <w:ilvl w:val="0"/>
          <w:numId w:val="0"/>
        </w:numPr>
        <w:rPr>
          <w:rFonts w:cs="Arial"/>
          <w:b/>
          <w:bCs/>
          <w:color w:val="000000"/>
          <w:szCs w:val="24"/>
        </w:rPr>
      </w:pPr>
      <w:r w:rsidRPr="00CD0F9F">
        <w:rPr>
          <w:rFonts w:cs="Arial"/>
          <w:b/>
          <w:bCs/>
          <w:color w:val="000000"/>
          <w:szCs w:val="24"/>
        </w:rPr>
        <w:t>Recommendation</w:t>
      </w:r>
    </w:p>
    <w:p w14:paraId="693B4F03" w14:textId="77777777" w:rsidR="00A13CC7" w:rsidRPr="00CD0F9F" w:rsidRDefault="00A13CC7" w:rsidP="00A13CC7">
      <w:pPr>
        <w:jc w:val="center"/>
        <w:rPr>
          <w:b/>
          <w:sz w:val="40"/>
          <w:szCs w:val="40"/>
        </w:rPr>
      </w:pPr>
    </w:p>
    <w:p w14:paraId="19CD8015" w14:textId="77777777" w:rsidR="00CD0F9F" w:rsidRPr="00CD0F9F" w:rsidRDefault="00CD0F9F" w:rsidP="00CD0F9F">
      <w:pPr>
        <w:jc w:val="center"/>
        <w:rPr>
          <w:b/>
          <w:sz w:val="40"/>
          <w:szCs w:val="40"/>
        </w:rPr>
      </w:pPr>
    </w:p>
    <w:sectPr w:rsidR="00CD0F9F" w:rsidRPr="00CD0F9F" w:rsidSect="00D76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F071" w14:textId="77777777" w:rsidR="00D76D00" w:rsidRDefault="00D76D00" w:rsidP="00CD0F9F">
      <w:r>
        <w:separator/>
      </w:r>
    </w:p>
  </w:endnote>
  <w:endnote w:type="continuationSeparator" w:id="0">
    <w:p w14:paraId="2D2A38B6" w14:textId="77777777" w:rsidR="00D76D00" w:rsidRDefault="00D76D00" w:rsidP="00CD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DAD8" w14:textId="77777777" w:rsidR="005C40D3" w:rsidRDefault="005C40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FDA9" w14:textId="1E333B4D" w:rsidR="00BD66BA" w:rsidRPr="00BD66BA" w:rsidRDefault="005C40D3" w:rsidP="005C40D3">
    <w:pPr>
      <w:tabs>
        <w:tab w:val="right" w:pos="13958"/>
      </w:tabs>
      <w:rPr>
        <w:rFonts w:cs="Arial"/>
        <w:b/>
        <w:szCs w:val="24"/>
      </w:rPr>
    </w:pPr>
    <w:r>
      <w:rPr>
        <w:rFonts w:cs="Arial"/>
        <w:b/>
        <w:bCs/>
        <w:szCs w:val="24"/>
      </w:rPr>
      <w:t>R3-64-</w:t>
    </w:r>
    <w:r w:rsidR="00A13CC7">
      <w:rPr>
        <w:rFonts w:cs="Arial"/>
        <w:b/>
        <w:bCs/>
        <w:szCs w:val="24"/>
      </w:rPr>
      <w:t>C</w:t>
    </w:r>
    <w:r>
      <w:rPr>
        <w:rFonts w:cs="Arial"/>
        <w:b/>
        <w:bCs/>
        <w:color w:val="CC3300"/>
        <w:szCs w:val="24"/>
      </w:rPr>
      <w:tab/>
    </w:r>
    <w:r w:rsidR="00BD66BA" w:rsidRPr="00BD66BA">
      <w:rPr>
        <w:rFonts w:cs="Arial"/>
        <w:b/>
        <w:bCs/>
        <w:color w:val="CC3300"/>
        <w:szCs w:val="24"/>
      </w:rPr>
      <w:t>Pr</w:t>
    </w:r>
    <w:r w:rsidR="00BD66BA" w:rsidRPr="00BD66BA">
      <w:rPr>
        <w:rStyle w:val="branding--black"/>
        <w:rFonts w:cs="Arial"/>
        <w:b/>
        <w:bCs/>
        <w:szCs w:val="24"/>
      </w:rPr>
      <w:t>o</w:t>
    </w:r>
    <w:r w:rsidR="00BD66BA" w:rsidRPr="00BD66BA">
      <w:rPr>
        <w:rFonts w:cs="Arial"/>
        <w:b/>
        <w:bCs/>
        <w:color w:val="CC3300"/>
        <w:szCs w:val="24"/>
      </w:rPr>
      <w:t>curement J</w:t>
    </w:r>
    <w:r w:rsidR="00BD66BA" w:rsidRPr="00BD66BA">
      <w:rPr>
        <w:rStyle w:val="branding--black"/>
        <w:rFonts w:cs="Arial"/>
        <w:b/>
        <w:bCs/>
        <w:szCs w:val="24"/>
      </w:rPr>
      <w:t>o</w:t>
    </w:r>
    <w:r w:rsidR="00BD66BA" w:rsidRPr="00BD66BA">
      <w:rPr>
        <w:rFonts w:cs="Arial"/>
        <w:b/>
        <w:bCs/>
        <w:color w:val="CC3300"/>
        <w:szCs w:val="24"/>
      </w:rPr>
      <w:t>urney</w:t>
    </w:r>
    <w:r w:rsidR="00BD66BA" w:rsidRPr="00BD66BA">
      <w:rPr>
        <w:rFonts w:cs="Arial"/>
        <w:b/>
        <w:szCs w:val="24"/>
      </w:rPr>
      <w:t xml:space="preserve"> </w:t>
    </w:r>
  </w:p>
  <w:p w14:paraId="6A4D0D51" w14:textId="77777777" w:rsidR="00CD0F9F" w:rsidRDefault="00BD66B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7CC5" w14:textId="77777777" w:rsidR="005C40D3" w:rsidRDefault="005C4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F5CD" w14:textId="77777777" w:rsidR="00D76D00" w:rsidRDefault="00D76D00" w:rsidP="00CD0F9F">
      <w:r>
        <w:separator/>
      </w:r>
    </w:p>
  </w:footnote>
  <w:footnote w:type="continuationSeparator" w:id="0">
    <w:p w14:paraId="36F4A8CD" w14:textId="77777777" w:rsidR="00D76D00" w:rsidRDefault="00D76D00" w:rsidP="00CD0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F5AC" w14:textId="77777777" w:rsidR="005C40D3" w:rsidRDefault="005C40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2435E" w14:textId="77777777" w:rsidR="005C40D3" w:rsidRDefault="005C40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E14FF" w14:textId="77777777" w:rsidR="005C40D3" w:rsidRDefault="005C4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EEED5BA"/>
    <w:lvl w:ilvl="0">
      <w:numFmt w:val="bullet"/>
      <w:lvlText w:val="*"/>
      <w:lvlJc w:val="left"/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380460">
    <w:abstractNumId w:val="2"/>
  </w:num>
  <w:num w:numId="2" w16cid:durableId="1965573237">
    <w:abstractNumId w:val="0"/>
  </w:num>
  <w:num w:numId="3" w16cid:durableId="1142964180">
    <w:abstractNumId w:val="0"/>
  </w:num>
  <w:num w:numId="4" w16cid:durableId="2020689612">
    <w:abstractNumId w:val="0"/>
  </w:num>
  <w:num w:numId="5" w16cid:durableId="1698236156">
    <w:abstractNumId w:val="2"/>
  </w:num>
  <w:num w:numId="6" w16cid:durableId="327951409">
    <w:abstractNumId w:val="0"/>
  </w:num>
  <w:num w:numId="7" w16cid:durableId="725837909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8" w16cid:durableId="146897674">
    <w:abstractNumId w:val="1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28"/>
        </w:rPr>
      </w:lvl>
    </w:lvlOverride>
  </w:num>
  <w:num w:numId="9" w16cid:durableId="85153183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10" w16cid:durableId="104552692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F9F"/>
    <w:rsid w:val="00027C27"/>
    <w:rsid w:val="000C0CF4"/>
    <w:rsid w:val="00281579"/>
    <w:rsid w:val="00306C61"/>
    <w:rsid w:val="0037582B"/>
    <w:rsid w:val="003C306E"/>
    <w:rsid w:val="005C40D3"/>
    <w:rsid w:val="00857548"/>
    <w:rsid w:val="0086557C"/>
    <w:rsid w:val="009B7615"/>
    <w:rsid w:val="00A13CC7"/>
    <w:rsid w:val="00B51BDC"/>
    <w:rsid w:val="00B561C0"/>
    <w:rsid w:val="00B773CE"/>
    <w:rsid w:val="00BD66BA"/>
    <w:rsid w:val="00C91823"/>
    <w:rsid w:val="00CD0F9F"/>
    <w:rsid w:val="00D008AB"/>
    <w:rsid w:val="00D759D5"/>
    <w:rsid w:val="00D76D00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8E37"/>
  <w15:chartTrackingRefBased/>
  <w15:docId w15:val="{E76B5E07-043E-411C-996D-F66C40A4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styleId="Hyperlink">
    <w:name w:val="Hyperlink"/>
    <w:basedOn w:val="DefaultParagraphFont"/>
    <w:uiPriority w:val="99"/>
    <w:unhideWhenUsed/>
    <w:rsid w:val="00CD0F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0F9F"/>
    <w:rPr>
      <w:color w:val="954F72" w:themeColor="followedHyperlink"/>
      <w:u w:val="single"/>
    </w:rPr>
  </w:style>
  <w:style w:type="character" w:customStyle="1" w:styleId="branding--black">
    <w:name w:val="branding--black"/>
    <w:basedOn w:val="DefaultParagraphFont"/>
    <w:rsid w:val="00BD6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162489b2b9e04e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3D26341A57B383EE0540010E0463CCA" version="1.0.0">
  <systemFields>
    <field name="Objective-Id">
      <value order="0">A30722300</value>
    </field>
    <field name="Objective-Title">
      <value order="0">Business Case</value>
    </field>
    <field name="Objective-Description">
      <value order="0"/>
    </field>
    <field name="Objective-CreationStamp">
      <value order="0">2020-11-06T13:06:34Z</value>
    </field>
    <field name="Objective-IsApproved">
      <value order="0">false</value>
    </field>
    <field name="Objective-IsPublished">
      <value order="0">true</value>
    </field>
    <field name="Objective-DatePublished">
      <value order="0">2024-04-26T14:13:02Z</value>
    </field>
    <field name="Objective-ModificationStamp">
      <value order="0">2024-04-26T14:13:02Z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vA72465712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Lynn McCann-Tyrrell</cp:lastModifiedBy>
  <cp:revision>5</cp:revision>
  <dcterms:created xsi:type="dcterms:W3CDTF">2020-03-06T11:20:00Z</dcterms:created>
  <dcterms:modified xsi:type="dcterms:W3CDTF">2024-04-26T14:12:00Z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A30722300</vt:lpwstr>
  </property>
  <property fmtid="{D5CDD505-2E9C-101B-9397-08002B2CF9AE}" pid="4" name="Objective-Title">
    <vt:lpwstr>Business Case</vt:lpwstr>
  </property>
  <property fmtid="{D5CDD505-2E9C-101B-9397-08002B2CF9AE}" pid="5" name="Objective-Description">
    <vt:lpwstr/>
  </property>
  <property fmtid="{D5CDD505-2E9C-101B-9397-08002B2CF9AE}" pid="6" name="Objective-CreationStamp">
    <vt:filetime>2020-11-06T13:06:34Z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2024-04-26T14:13:02Z</vt:filetime>
  </property>
  <property fmtid="{D5CDD505-2E9C-101B-9397-08002B2CF9AE}" pid="10" name="Objective-ModificationStamp">
    <vt:filetime>2024-04-26T14:13:02Z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vA72465712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CASE/534624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