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99B" w:rsidRDefault="004A599B" w:rsidP="005B45BD">
      <w:pPr>
        <w:spacing w:line="184" w:lineRule="exact"/>
        <w:rPr>
          <w:rFonts w:ascii="Arial" w:eastAsia="Times New Roman" w:hAnsi="Arial"/>
          <w:sz w:val="24"/>
          <w:szCs w:val="24"/>
        </w:rPr>
      </w:pPr>
    </w:p>
    <w:p w:rsidR="00F47295" w:rsidRDefault="00F47295" w:rsidP="00F47295">
      <w:pPr>
        <w:jc w:val="center"/>
        <w:rPr>
          <w:b/>
          <w:color w:val="FFC000"/>
          <w:sz w:val="60"/>
          <w:szCs w:val="60"/>
        </w:rPr>
      </w:pPr>
    </w:p>
    <w:p w:rsidR="00F47295" w:rsidRDefault="00F47295" w:rsidP="00F47295">
      <w:pPr>
        <w:jc w:val="center"/>
        <w:rPr>
          <w:b/>
          <w:color w:val="FFC000"/>
          <w:sz w:val="60"/>
          <w:szCs w:val="60"/>
        </w:rPr>
      </w:pPr>
    </w:p>
    <w:p w:rsidR="00F47295" w:rsidRDefault="00F47295" w:rsidP="00F47295">
      <w:pPr>
        <w:jc w:val="center"/>
        <w:rPr>
          <w:b/>
          <w:color w:val="FFC000"/>
          <w:sz w:val="60"/>
          <w:szCs w:val="60"/>
        </w:rPr>
      </w:pPr>
      <w:bookmarkStart w:id="0" w:name="_GoBack"/>
      <w:bookmarkEnd w:id="0"/>
    </w:p>
    <w:p w:rsidR="00F47295" w:rsidRDefault="00F47295" w:rsidP="00F47295">
      <w:pPr>
        <w:jc w:val="center"/>
        <w:rPr>
          <w:b/>
          <w:color w:val="FFC000"/>
          <w:sz w:val="60"/>
          <w:szCs w:val="60"/>
        </w:rPr>
      </w:pPr>
    </w:p>
    <w:p w:rsidR="00F47295" w:rsidRDefault="00F47295" w:rsidP="00F47295">
      <w:pPr>
        <w:jc w:val="center"/>
        <w:rPr>
          <w:b/>
          <w:color w:val="FFC000"/>
          <w:sz w:val="60"/>
          <w:szCs w:val="60"/>
        </w:rPr>
      </w:pPr>
    </w:p>
    <w:p w:rsidR="00F47295" w:rsidRDefault="00F47295" w:rsidP="00F47295">
      <w:pPr>
        <w:jc w:val="center"/>
        <w:rPr>
          <w:b/>
          <w:color w:val="FFC000"/>
          <w:sz w:val="60"/>
          <w:szCs w:val="60"/>
        </w:rPr>
      </w:pPr>
    </w:p>
    <w:p w:rsidR="00F47295" w:rsidRDefault="00F47295" w:rsidP="00F47295">
      <w:pPr>
        <w:jc w:val="center"/>
        <w:rPr>
          <w:b/>
          <w:color w:val="FFC000"/>
          <w:sz w:val="60"/>
          <w:szCs w:val="60"/>
        </w:rPr>
      </w:pPr>
    </w:p>
    <w:p w:rsidR="00F47295" w:rsidRDefault="00F47295" w:rsidP="00F47295">
      <w:pPr>
        <w:jc w:val="center"/>
        <w:rPr>
          <w:b/>
          <w:color w:val="FFC000"/>
          <w:sz w:val="60"/>
          <w:szCs w:val="60"/>
        </w:rPr>
      </w:pPr>
    </w:p>
    <w:p w:rsidR="00475420" w:rsidRDefault="00475420" w:rsidP="00475420">
      <w:pPr>
        <w:jc w:val="center"/>
        <w:rPr>
          <w:rFonts w:ascii="Arial" w:eastAsia="Times New Roman" w:hAnsi="Arial"/>
          <w:b/>
          <w:sz w:val="28"/>
          <w:szCs w:val="28"/>
        </w:rPr>
      </w:pPr>
      <w:r>
        <w:rPr>
          <w:b/>
          <w:bCs/>
          <w:color w:val="CC3300"/>
          <w:sz w:val="60"/>
          <w:szCs w:val="60"/>
        </w:rPr>
        <w:t>Pr</w:t>
      </w:r>
      <w:r>
        <w:rPr>
          <w:rStyle w:val="branding--black"/>
          <w:b/>
          <w:bCs/>
          <w:sz w:val="60"/>
          <w:szCs w:val="60"/>
        </w:rPr>
        <w:t>o</w:t>
      </w:r>
      <w:r>
        <w:rPr>
          <w:b/>
          <w:bCs/>
          <w:color w:val="CC3300"/>
          <w:sz w:val="60"/>
          <w:szCs w:val="60"/>
        </w:rPr>
        <w:t>curement J</w:t>
      </w:r>
      <w:r>
        <w:rPr>
          <w:rStyle w:val="branding--black"/>
          <w:b/>
          <w:bCs/>
          <w:sz w:val="60"/>
          <w:szCs w:val="60"/>
        </w:rPr>
        <w:t>o</w:t>
      </w:r>
      <w:r>
        <w:rPr>
          <w:b/>
          <w:bCs/>
          <w:color w:val="CC3300"/>
          <w:sz w:val="60"/>
          <w:szCs w:val="60"/>
        </w:rPr>
        <w:t>urney</w:t>
      </w:r>
      <w:r>
        <w:rPr>
          <w:b/>
          <w:sz w:val="28"/>
          <w:szCs w:val="28"/>
        </w:rPr>
        <w:t xml:space="preserve"> </w:t>
      </w:r>
    </w:p>
    <w:p w:rsidR="00F47295" w:rsidRPr="00F47295" w:rsidRDefault="00F47295" w:rsidP="00F47295">
      <w:pPr>
        <w:tabs>
          <w:tab w:val="left" w:pos="686"/>
        </w:tabs>
        <w:spacing w:line="259" w:lineRule="auto"/>
        <w:ind w:left="686" w:right="320"/>
        <w:jc w:val="center"/>
        <w:rPr>
          <w:rFonts w:ascii="Arial" w:eastAsia="Arial" w:hAnsi="Arial"/>
          <w:b/>
          <w:sz w:val="24"/>
          <w:szCs w:val="24"/>
        </w:rPr>
      </w:pPr>
      <w:proofErr w:type="spellStart"/>
      <w:r w:rsidRPr="00F47295">
        <w:rPr>
          <w:rFonts w:ascii="Arial" w:eastAsia="Arial" w:hAnsi="Arial"/>
          <w:b/>
          <w:sz w:val="24"/>
          <w:szCs w:val="24"/>
        </w:rPr>
        <w:t>C&amp;SS</w:t>
      </w:r>
      <w:proofErr w:type="spellEnd"/>
      <w:r w:rsidRPr="00F47295">
        <w:rPr>
          <w:rFonts w:ascii="Arial" w:eastAsia="Arial" w:hAnsi="Arial"/>
          <w:b/>
          <w:sz w:val="24"/>
          <w:szCs w:val="24"/>
        </w:rPr>
        <w:t xml:space="preserve"> Award Criteria Guidance</w:t>
      </w:r>
    </w:p>
    <w:p w:rsidR="00F47295" w:rsidRDefault="00F47295" w:rsidP="00F47295">
      <w:pPr>
        <w:jc w:val="center"/>
        <w:rPr>
          <w:b/>
          <w:color w:val="FF0000"/>
          <w:sz w:val="60"/>
          <w:szCs w:val="60"/>
        </w:rPr>
      </w:pPr>
    </w:p>
    <w:p w:rsidR="00F47295" w:rsidRPr="004A599B" w:rsidRDefault="004A599B" w:rsidP="00F47295">
      <w:pPr>
        <w:tabs>
          <w:tab w:val="left" w:pos="686"/>
        </w:tabs>
        <w:spacing w:line="259" w:lineRule="auto"/>
        <w:ind w:left="686" w:right="320"/>
        <w:jc w:val="center"/>
        <w:rPr>
          <w:rFonts w:ascii="Arial" w:eastAsia="Arial" w:hAnsi="Arial"/>
          <w:b/>
          <w:sz w:val="28"/>
          <w:szCs w:val="22"/>
        </w:rPr>
      </w:pPr>
      <w:r>
        <w:rPr>
          <w:rFonts w:ascii="Arial" w:eastAsia="Times New Roman" w:hAnsi="Arial"/>
          <w:sz w:val="24"/>
          <w:szCs w:val="24"/>
        </w:rPr>
        <w:br w:type="page"/>
      </w:r>
    </w:p>
    <w:p w:rsidR="005B45BD" w:rsidRPr="000D5A44" w:rsidRDefault="005B45BD" w:rsidP="005B45BD">
      <w:pPr>
        <w:spacing w:line="184" w:lineRule="exact"/>
        <w:rPr>
          <w:rFonts w:ascii="Arial" w:eastAsia="Times New Roman" w:hAnsi="Arial"/>
          <w:sz w:val="24"/>
          <w:szCs w:val="24"/>
        </w:rPr>
      </w:pPr>
    </w:p>
    <w:p w:rsidR="000D5A44" w:rsidRPr="00F47295" w:rsidRDefault="000D5A44" w:rsidP="00F47295">
      <w:pPr>
        <w:tabs>
          <w:tab w:val="left" w:pos="686"/>
        </w:tabs>
        <w:spacing w:line="259" w:lineRule="auto"/>
        <w:ind w:left="686" w:right="320"/>
        <w:jc w:val="both"/>
        <w:rPr>
          <w:rFonts w:ascii="Arial" w:eastAsia="Arial" w:hAnsi="Arial"/>
          <w:b/>
          <w:sz w:val="24"/>
          <w:szCs w:val="24"/>
        </w:rPr>
      </w:pPr>
      <w:proofErr w:type="spellStart"/>
      <w:r w:rsidRPr="00F47295">
        <w:rPr>
          <w:rFonts w:ascii="Arial" w:eastAsia="Arial" w:hAnsi="Arial"/>
          <w:b/>
          <w:sz w:val="24"/>
          <w:szCs w:val="24"/>
        </w:rPr>
        <w:t>C&amp;SS</w:t>
      </w:r>
      <w:proofErr w:type="spellEnd"/>
      <w:r w:rsidRPr="00F47295">
        <w:rPr>
          <w:rFonts w:ascii="Arial" w:eastAsia="Arial" w:hAnsi="Arial"/>
          <w:b/>
          <w:sz w:val="24"/>
          <w:szCs w:val="24"/>
        </w:rPr>
        <w:t xml:space="preserve"> Award Criteria Guidance</w:t>
      </w:r>
    </w:p>
    <w:p w:rsidR="000D5A44" w:rsidRPr="00F47295" w:rsidRDefault="000D5A44" w:rsidP="00F47295">
      <w:pPr>
        <w:tabs>
          <w:tab w:val="left" w:pos="686"/>
        </w:tabs>
        <w:spacing w:line="259" w:lineRule="auto"/>
        <w:ind w:left="686" w:right="320"/>
        <w:jc w:val="both"/>
        <w:rPr>
          <w:rFonts w:ascii="Arial" w:eastAsia="Arial" w:hAnsi="Arial"/>
          <w:sz w:val="24"/>
          <w:szCs w:val="24"/>
        </w:rPr>
      </w:pPr>
    </w:p>
    <w:p w:rsidR="005B45BD" w:rsidRPr="00F47295" w:rsidRDefault="005B45BD" w:rsidP="00F47295">
      <w:pPr>
        <w:tabs>
          <w:tab w:val="left" w:pos="686"/>
        </w:tabs>
        <w:spacing w:line="259" w:lineRule="auto"/>
        <w:ind w:left="686" w:right="320"/>
        <w:jc w:val="both"/>
        <w:rPr>
          <w:rFonts w:ascii="Arial" w:eastAsia="Arial" w:hAnsi="Arial"/>
          <w:sz w:val="24"/>
          <w:szCs w:val="24"/>
        </w:rPr>
      </w:pPr>
      <w:r w:rsidRPr="00F47295">
        <w:rPr>
          <w:rFonts w:ascii="Arial" w:eastAsia="Arial" w:hAnsi="Arial"/>
          <w:sz w:val="24"/>
          <w:szCs w:val="24"/>
        </w:rPr>
        <w:t xml:space="preserve">While not required, award criteria can enable </w:t>
      </w:r>
      <w:r w:rsidR="006079A5" w:rsidRPr="00F47295">
        <w:rPr>
          <w:rFonts w:ascii="Arial" w:eastAsia="Arial" w:hAnsi="Arial"/>
          <w:sz w:val="24"/>
          <w:szCs w:val="24"/>
        </w:rPr>
        <w:t>an organisation</w:t>
      </w:r>
      <w:r w:rsidRPr="00F47295">
        <w:rPr>
          <w:rFonts w:ascii="Arial" w:eastAsia="Arial" w:hAnsi="Arial"/>
          <w:sz w:val="24"/>
          <w:szCs w:val="24"/>
        </w:rPr>
        <w:t xml:space="preserve"> to assess a service provider’s bid to deliver the service in question. They must be relevant and proportionate to the particular requirement and should therefore be determined on a case-by-case basis. Award criteria may, for example, include:</w:t>
      </w:r>
    </w:p>
    <w:p w:rsidR="005B45BD" w:rsidRPr="00F47295" w:rsidRDefault="005B45BD" w:rsidP="00F47295">
      <w:pPr>
        <w:numPr>
          <w:ilvl w:val="1"/>
          <w:numId w:val="5"/>
        </w:numPr>
        <w:tabs>
          <w:tab w:val="left" w:pos="966"/>
        </w:tabs>
        <w:spacing w:line="0" w:lineRule="atLeast"/>
        <w:ind w:left="966" w:hanging="286"/>
        <w:jc w:val="both"/>
        <w:rPr>
          <w:rFonts w:ascii="Arial" w:eastAsia="Arial" w:hAnsi="Arial"/>
          <w:sz w:val="24"/>
          <w:szCs w:val="24"/>
        </w:rPr>
      </w:pPr>
      <w:r w:rsidRPr="00F47295">
        <w:rPr>
          <w:rFonts w:ascii="Arial" w:eastAsia="Arial" w:hAnsi="Arial"/>
          <w:sz w:val="24"/>
          <w:szCs w:val="24"/>
        </w:rPr>
        <w:t>understanding service requirements and implementation proposals;</w:t>
      </w:r>
    </w:p>
    <w:p w:rsidR="005B45BD" w:rsidRPr="00F47295" w:rsidRDefault="005B45BD" w:rsidP="00F47295">
      <w:pPr>
        <w:spacing w:line="182" w:lineRule="exact"/>
        <w:jc w:val="both"/>
        <w:rPr>
          <w:rFonts w:ascii="Arial" w:eastAsia="Arial" w:hAnsi="Arial"/>
          <w:sz w:val="24"/>
          <w:szCs w:val="24"/>
        </w:rPr>
      </w:pPr>
    </w:p>
    <w:p w:rsidR="005B45BD" w:rsidRPr="00F47295" w:rsidRDefault="005B45BD" w:rsidP="00F47295">
      <w:pPr>
        <w:numPr>
          <w:ilvl w:val="1"/>
          <w:numId w:val="5"/>
        </w:numPr>
        <w:tabs>
          <w:tab w:val="left" w:pos="966"/>
        </w:tabs>
        <w:spacing w:line="0" w:lineRule="atLeast"/>
        <w:ind w:left="966" w:hanging="286"/>
        <w:jc w:val="both"/>
        <w:rPr>
          <w:rFonts w:ascii="Arial" w:eastAsia="Arial" w:hAnsi="Arial"/>
          <w:sz w:val="24"/>
          <w:szCs w:val="24"/>
        </w:rPr>
      </w:pPr>
      <w:r w:rsidRPr="00F47295">
        <w:rPr>
          <w:rFonts w:ascii="Arial" w:eastAsia="Arial" w:hAnsi="Arial"/>
          <w:sz w:val="24"/>
          <w:szCs w:val="24"/>
        </w:rPr>
        <w:t>achieving outcomes for people who use services;</w:t>
      </w:r>
    </w:p>
    <w:p w:rsidR="005B45BD" w:rsidRPr="00F47295" w:rsidRDefault="005B45BD" w:rsidP="00F47295">
      <w:pPr>
        <w:spacing w:line="182" w:lineRule="exact"/>
        <w:jc w:val="both"/>
        <w:rPr>
          <w:rFonts w:ascii="Arial" w:eastAsia="Arial" w:hAnsi="Arial"/>
          <w:sz w:val="24"/>
          <w:szCs w:val="24"/>
        </w:rPr>
      </w:pPr>
    </w:p>
    <w:p w:rsidR="005B45BD" w:rsidRPr="00F47295" w:rsidRDefault="005B45BD" w:rsidP="00F47295">
      <w:pPr>
        <w:numPr>
          <w:ilvl w:val="1"/>
          <w:numId w:val="5"/>
        </w:numPr>
        <w:tabs>
          <w:tab w:val="left" w:pos="966"/>
        </w:tabs>
        <w:spacing w:line="273" w:lineRule="auto"/>
        <w:ind w:left="966" w:right="720" w:hanging="286"/>
        <w:jc w:val="both"/>
        <w:rPr>
          <w:rFonts w:ascii="Arial" w:eastAsia="Arial" w:hAnsi="Arial"/>
          <w:sz w:val="24"/>
          <w:szCs w:val="24"/>
        </w:rPr>
      </w:pPr>
      <w:r w:rsidRPr="00F47295">
        <w:rPr>
          <w:rFonts w:ascii="Arial" w:eastAsia="Arial" w:hAnsi="Arial"/>
          <w:sz w:val="24"/>
          <w:szCs w:val="24"/>
        </w:rPr>
        <w:t>staffing structures and how these have been calculated to meet the needs of the people that use services group;</w:t>
      </w:r>
    </w:p>
    <w:p w:rsidR="005B45BD" w:rsidRPr="00F47295" w:rsidRDefault="005B45BD" w:rsidP="00F47295">
      <w:pPr>
        <w:spacing w:line="118" w:lineRule="exact"/>
        <w:jc w:val="both"/>
        <w:rPr>
          <w:rFonts w:ascii="Arial" w:eastAsia="Arial" w:hAnsi="Arial"/>
          <w:sz w:val="24"/>
          <w:szCs w:val="24"/>
        </w:rPr>
      </w:pPr>
    </w:p>
    <w:p w:rsidR="005B45BD" w:rsidRPr="00F47295" w:rsidRDefault="005B45BD" w:rsidP="00F47295">
      <w:pPr>
        <w:numPr>
          <w:ilvl w:val="1"/>
          <w:numId w:val="5"/>
        </w:numPr>
        <w:tabs>
          <w:tab w:val="left" w:pos="966"/>
        </w:tabs>
        <w:spacing w:line="0" w:lineRule="atLeast"/>
        <w:ind w:left="966" w:hanging="286"/>
        <w:jc w:val="both"/>
        <w:rPr>
          <w:rFonts w:ascii="Arial" w:eastAsia="Arial" w:hAnsi="Arial"/>
          <w:sz w:val="24"/>
          <w:szCs w:val="24"/>
        </w:rPr>
      </w:pPr>
      <w:r w:rsidRPr="00F47295">
        <w:rPr>
          <w:rFonts w:ascii="Arial" w:eastAsia="Arial" w:hAnsi="Arial"/>
          <w:sz w:val="24"/>
          <w:szCs w:val="24"/>
        </w:rPr>
        <w:t>proposals for service improvement/development;</w:t>
      </w:r>
    </w:p>
    <w:p w:rsidR="005B45BD" w:rsidRPr="00F47295" w:rsidRDefault="005B45BD" w:rsidP="00F47295">
      <w:pPr>
        <w:spacing w:line="182" w:lineRule="exact"/>
        <w:jc w:val="both"/>
        <w:rPr>
          <w:rFonts w:ascii="Arial" w:eastAsia="Arial" w:hAnsi="Arial"/>
          <w:sz w:val="24"/>
          <w:szCs w:val="24"/>
        </w:rPr>
      </w:pPr>
    </w:p>
    <w:p w:rsidR="005B45BD" w:rsidRPr="00F47295" w:rsidRDefault="005B45BD" w:rsidP="00F47295">
      <w:pPr>
        <w:numPr>
          <w:ilvl w:val="1"/>
          <w:numId w:val="5"/>
        </w:numPr>
        <w:tabs>
          <w:tab w:val="left" w:pos="966"/>
        </w:tabs>
        <w:spacing w:line="273" w:lineRule="auto"/>
        <w:ind w:left="966" w:right="220" w:hanging="286"/>
        <w:jc w:val="both"/>
        <w:rPr>
          <w:rFonts w:ascii="Arial" w:eastAsia="Arial" w:hAnsi="Arial"/>
          <w:sz w:val="24"/>
          <w:szCs w:val="24"/>
        </w:rPr>
      </w:pPr>
      <w:r w:rsidRPr="00F47295">
        <w:rPr>
          <w:rFonts w:ascii="Arial" w:eastAsia="Arial" w:hAnsi="Arial"/>
          <w:sz w:val="24"/>
          <w:szCs w:val="24"/>
        </w:rPr>
        <w:t>proposals for monitoring and evaluating service delivery outcomes and user satisfaction; and</w:t>
      </w:r>
    </w:p>
    <w:p w:rsidR="005B45BD" w:rsidRPr="00F47295" w:rsidRDefault="005B45BD" w:rsidP="00F47295">
      <w:pPr>
        <w:spacing w:line="118" w:lineRule="exact"/>
        <w:jc w:val="both"/>
        <w:rPr>
          <w:rFonts w:ascii="Arial" w:eastAsia="Arial" w:hAnsi="Arial"/>
          <w:sz w:val="24"/>
          <w:szCs w:val="24"/>
        </w:rPr>
      </w:pPr>
    </w:p>
    <w:p w:rsidR="00F47295" w:rsidRDefault="005B45BD" w:rsidP="00F47295">
      <w:pPr>
        <w:numPr>
          <w:ilvl w:val="1"/>
          <w:numId w:val="5"/>
        </w:numPr>
        <w:tabs>
          <w:tab w:val="left" w:pos="966"/>
        </w:tabs>
        <w:spacing w:line="0" w:lineRule="atLeast"/>
        <w:ind w:left="966" w:hanging="286"/>
        <w:jc w:val="both"/>
        <w:rPr>
          <w:rFonts w:ascii="Arial" w:eastAsia="Arial" w:hAnsi="Arial"/>
          <w:sz w:val="24"/>
          <w:szCs w:val="24"/>
        </w:rPr>
      </w:pPr>
      <w:r w:rsidRPr="00F47295">
        <w:rPr>
          <w:rFonts w:ascii="Arial" w:eastAsia="Arial" w:hAnsi="Arial"/>
          <w:sz w:val="24"/>
          <w:szCs w:val="24"/>
        </w:rPr>
        <w:t>whole life costs.</w:t>
      </w:r>
    </w:p>
    <w:p w:rsidR="00F47295" w:rsidRPr="00F47295" w:rsidRDefault="00F47295" w:rsidP="00F47295">
      <w:pPr>
        <w:tabs>
          <w:tab w:val="left" w:pos="966"/>
        </w:tabs>
        <w:spacing w:line="0" w:lineRule="atLeast"/>
        <w:ind w:left="966"/>
        <w:jc w:val="both"/>
        <w:rPr>
          <w:rFonts w:ascii="Arial" w:eastAsia="Arial" w:hAnsi="Arial"/>
          <w:sz w:val="24"/>
          <w:szCs w:val="24"/>
        </w:rPr>
      </w:pPr>
    </w:p>
    <w:p w:rsidR="00FE3E79" w:rsidRDefault="00FE3E79" w:rsidP="00F47295">
      <w:pPr>
        <w:spacing w:line="275" w:lineRule="auto"/>
        <w:ind w:left="6" w:right="140"/>
        <w:jc w:val="both"/>
        <w:rPr>
          <w:rFonts w:ascii="Arial" w:eastAsia="Arial" w:hAnsi="Arial"/>
          <w:b/>
          <w:sz w:val="24"/>
          <w:szCs w:val="24"/>
        </w:rPr>
      </w:pPr>
      <w:r w:rsidRPr="00F47295">
        <w:rPr>
          <w:rFonts w:ascii="Arial" w:eastAsia="Arial" w:hAnsi="Arial"/>
          <w:b/>
          <w:sz w:val="24"/>
          <w:szCs w:val="24"/>
        </w:rPr>
        <w:tab/>
        <w:t xml:space="preserve">Taking account of resources which service providers are able to bring to bear </w:t>
      </w:r>
      <w:r w:rsidRPr="00F47295">
        <w:rPr>
          <w:rFonts w:ascii="Arial" w:eastAsia="Arial" w:hAnsi="Arial"/>
          <w:b/>
          <w:sz w:val="24"/>
          <w:szCs w:val="24"/>
        </w:rPr>
        <w:tab/>
        <w:t>in delivering the service</w:t>
      </w:r>
    </w:p>
    <w:p w:rsidR="00FE3E79" w:rsidRPr="00F47295" w:rsidRDefault="00FE3E79" w:rsidP="00F47295">
      <w:pPr>
        <w:tabs>
          <w:tab w:val="left" w:pos="686"/>
        </w:tabs>
        <w:spacing w:line="263" w:lineRule="auto"/>
        <w:ind w:left="686" w:right="180"/>
        <w:jc w:val="both"/>
        <w:rPr>
          <w:rFonts w:ascii="Arial" w:eastAsia="Arial" w:hAnsi="Arial"/>
          <w:sz w:val="24"/>
          <w:szCs w:val="24"/>
        </w:rPr>
      </w:pPr>
      <w:r w:rsidRPr="00F47295">
        <w:rPr>
          <w:rFonts w:ascii="Arial" w:eastAsia="Arial" w:hAnsi="Arial"/>
          <w:sz w:val="24"/>
          <w:szCs w:val="24"/>
        </w:rPr>
        <w:t>Where the availability of resources, for example a building, has a bearing on a service provider’s ability to perform the contract, it may be assessed as part of the evaluation of the quality of the service being offered.</w:t>
      </w:r>
    </w:p>
    <w:p w:rsidR="005B45BD" w:rsidRPr="00F47295" w:rsidRDefault="005B45BD" w:rsidP="00F47295">
      <w:pPr>
        <w:tabs>
          <w:tab w:val="left" w:pos="966"/>
        </w:tabs>
        <w:spacing w:line="0" w:lineRule="atLeast"/>
        <w:ind w:left="966" w:hanging="286"/>
        <w:jc w:val="both"/>
        <w:rPr>
          <w:rFonts w:ascii="Arial" w:eastAsia="Arial" w:hAnsi="Arial"/>
          <w:sz w:val="24"/>
          <w:szCs w:val="24"/>
        </w:rPr>
      </w:pPr>
    </w:p>
    <w:p w:rsidR="005B45BD" w:rsidRPr="00F47295" w:rsidRDefault="006079A5" w:rsidP="00F47295">
      <w:pPr>
        <w:tabs>
          <w:tab w:val="left" w:pos="686"/>
        </w:tabs>
        <w:spacing w:line="254" w:lineRule="auto"/>
        <w:ind w:left="686" w:right="80"/>
        <w:jc w:val="both"/>
        <w:rPr>
          <w:rFonts w:ascii="Arial" w:eastAsia="Arial" w:hAnsi="Arial"/>
          <w:sz w:val="24"/>
          <w:szCs w:val="24"/>
        </w:rPr>
      </w:pPr>
      <w:r w:rsidRPr="00F47295">
        <w:rPr>
          <w:rFonts w:ascii="Arial" w:eastAsia="Arial" w:hAnsi="Arial"/>
          <w:sz w:val="24"/>
          <w:szCs w:val="24"/>
        </w:rPr>
        <w:t>An organisation</w:t>
      </w:r>
      <w:r w:rsidR="005B45BD" w:rsidRPr="00F47295">
        <w:rPr>
          <w:rFonts w:ascii="Arial" w:eastAsia="Arial" w:hAnsi="Arial"/>
          <w:sz w:val="24"/>
          <w:szCs w:val="24"/>
        </w:rPr>
        <w:t xml:space="preserve"> should award a contract or framework agreement on the basis of the tender which represents best price quality ratio. In doing so, </w:t>
      </w:r>
      <w:r w:rsidRPr="00F47295">
        <w:rPr>
          <w:rFonts w:ascii="Arial" w:eastAsia="Arial" w:hAnsi="Arial"/>
          <w:sz w:val="24"/>
          <w:szCs w:val="24"/>
        </w:rPr>
        <w:t>an organisation</w:t>
      </w:r>
      <w:r w:rsidR="005B45BD" w:rsidRPr="00F47295">
        <w:rPr>
          <w:rFonts w:ascii="Arial" w:eastAsia="Arial" w:hAnsi="Arial"/>
          <w:sz w:val="24"/>
          <w:szCs w:val="24"/>
        </w:rPr>
        <w:t xml:space="preserve"> should determine how it intends to evaluate quality and cost or price and whether, for example, it intends to apply a minimum pass mark to an individual technical question. </w:t>
      </w:r>
      <w:r w:rsidRPr="00F47295">
        <w:rPr>
          <w:rFonts w:ascii="Arial" w:eastAsia="Arial" w:hAnsi="Arial"/>
          <w:sz w:val="24"/>
          <w:szCs w:val="24"/>
        </w:rPr>
        <w:t>An organisation</w:t>
      </w:r>
      <w:r w:rsidR="005B45BD" w:rsidRPr="00F47295">
        <w:rPr>
          <w:rFonts w:ascii="Arial" w:eastAsia="Arial" w:hAnsi="Arial"/>
          <w:sz w:val="24"/>
          <w:szCs w:val="24"/>
        </w:rPr>
        <w:t xml:space="preserve"> should consider inviting people who use services to contribute questions which can be put to potential service providers at interview. Any questions must be relevant to the contract outputs and outcomes and the contract award criteria established for the procurement process. These must also be objective and agreed and disclosed to service providers in advance. These should be evaluated, scored and be objective.</w:t>
      </w:r>
    </w:p>
    <w:p w:rsidR="000D5A44" w:rsidRPr="00F47295" w:rsidRDefault="000D5A44" w:rsidP="00F47295">
      <w:pPr>
        <w:tabs>
          <w:tab w:val="left" w:pos="686"/>
        </w:tabs>
        <w:spacing w:line="254" w:lineRule="auto"/>
        <w:ind w:left="686" w:right="80"/>
        <w:jc w:val="both"/>
        <w:rPr>
          <w:rFonts w:ascii="Arial" w:eastAsia="Arial" w:hAnsi="Arial"/>
          <w:sz w:val="24"/>
          <w:szCs w:val="24"/>
        </w:rPr>
      </w:pPr>
    </w:p>
    <w:p w:rsidR="005B45BD" w:rsidRPr="00F47295" w:rsidRDefault="006079A5" w:rsidP="00F47295">
      <w:pPr>
        <w:tabs>
          <w:tab w:val="left" w:pos="686"/>
        </w:tabs>
        <w:spacing w:line="256" w:lineRule="auto"/>
        <w:ind w:left="686"/>
        <w:jc w:val="both"/>
        <w:rPr>
          <w:rFonts w:ascii="Arial" w:eastAsia="Arial" w:hAnsi="Arial"/>
          <w:sz w:val="24"/>
          <w:szCs w:val="24"/>
        </w:rPr>
      </w:pPr>
      <w:r w:rsidRPr="00F47295">
        <w:rPr>
          <w:rFonts w:ascii="Arial" w:eastAsia="Arial" w:hAnsi="Arial"/>
          <w:sz w:val="24"/>
          <w:szCs w:val="24"/>
        </w:rPr>
        <w:t>An organisation</w:t>
      </w:r>
      <w:r w:rsidR="005B45BD" w:rsidRPr="00F47295">
        <w:rPr>
          <w:rFonts w:ascii="Arial" w:eastAsia="Arial" w:hAnsi="Arial"/>
          <w:sz w:val="24"/>
          <w:szCs w:val="24"/>
        </w:rPr>
        <w:t xml:space="preserve"> should also determine the appropriate best price quality ratio for the particular procurement. For example, it may be appropriate for a tender for equipment to be conducted on the basis of 30% quality, 70% cost if the equipment meets manufacturing quality standards. </w:t>
      </w:r>
      <w:r w:rsidR="005B45BD" w:rsidRPr="00F47295">
        <w:rPr>
          <w:rFonts w:ascii="Arial" w:eastAsia="Arial" w:hAnsi="Arial"/>
          <w:b/>
          <w:sz w:val="24"/>
          <w:szCs w:val="24"/>
        </w:rPr>
        <w:t>However,</w:t>
      </w:r>
      <w:r w:rsidR="005B45BD" w:rsidRPr="00F47295">
        <w:rPr>
          <w:rFonts w:ascii="Arial" w:eastAsia="Arial" w:hAnsi="Arial"/>
          <w:sz w:val="24"/>
          <w:szCs w:val="24"/>
        </w:rPr>
        <w:t xml:space="preserve"> </w:t>
      </w:r>
      <w:r w:rsidR="005B45BD" w:rsidRPr="00F47295">
        <w:rPr>
          <w:rFonts w:ascii="Arial" w:eastAsia="Arial" w:hAnsi="Arial"/>
          <w:b/>
          <w:sz w:val="24"/>
          <w:szCs w:val="24"/>
        </w:rPr>
        <w:t xml:space="preserve">when procuring care and support services, greater emphasis should be placed on quality rather than cost or price. </w:t>
      </w:r>
      <w:r w:rsidR="005B45BD" w:rsidRPr="00F47295">
        <w:rPr>
          <w:rFonts w:ascii="Arial" w:eastAsia="Arial" w:hAnsi="Arial"/>
          <w:sz w:val="24"/>
          <w:szCs w:val="24"/>
        </w:rPr>
        <w:t>In this instance, it might be</w:t>
      </w:r>
      <w:r w:rsidR="005B45BD" w:rsidRPr="00F47295">
        <w:rPr>
          <w:rFonts w:ascii="Arial" w:eastAsia="Arial" w:hAnsi="Arial"/>
          <w:b/>
          <w:sz w:val="24"/>
          <w:szCs w:val="24"/>
        </w:rPr>
        <w:t xml:space="preserve"> </w:t>
      </w:r>
      <w:r w:rsidR="005B45BD" w:rsidRPr="00F47295">
        <w:rPr>
          <w:rFonts w:ascii="Arial" w:eastAsia="Arial" w:hAnsi="Arial"/>
          <w:sz w:val="24"/>
          <w:szCs w:val="24"/>
        </w:rPr>
        <w:t>appropriate, for example, to use a ratio of 70% quality, 30% cost.</w:t>
      </w:r>
    </w:p>
    <w:p w:rsidR="005B45BD" w:rsidRPr="00F47295" w:rsidRDefault="005B45BD" w:rsidP="00F47295">
      <w:pPr>
        <w:spacing w:line="259" w:lineRule="exact"/>
        <w:jc w:val="both"/>
        <w:rPr>
          <w:rFonts w:ascii="Arial" w:eastAsia="Arial" w:hAnsi="Arial"/>
          <w:sz w:val="24"/>
          <w:szCs w:val="24"/>
        </w:rPr>
      </w:pPr>
    </w:p>
    <w:p w:rsidR="005B45BD" w:rsidRPr="00475420" w:rsidRDefault="005B45BD" w:rsidP="00475420">
      <w:pPr>
        <w:tabs>
          <w:tab w:val="left" w:pos="686"/>
        </w:tabs>
        <w:spacing w:line="252" w:lineRule="auto"/>
        <w:ind w:left="686" w:right="780"/>
        <w:jc w:val="both"/>
        <w:rPr>
          <w:rFonts w:ascii="Arial" w:eastAsia="Arial" w:hAnsi="Arial"/>
          <w:sz w:val="24"/>
          <w:szCs w:val="24"/>
        </w:rPr>
      </w:pPr>
      <w:r w:rsidRPr="00F47295">
        <w:rPr>
          <w:rFonts w:ascii="Arial" w:eastAsia="Arial" w:hAnsi="Arial"/>
          <w:sz w:val="24"/>
          <w:szCs w:val="24"/>
        </w:rPr>
        <w:t xml:space="preserve">Where </w:t>
      </w:r>
      <w:r w:rsidR="006079A5" w:rsidRPr="00F47295">
        <w:rPr>
          <w:rFonts w:ascii="Arial" w:eastAsia="Arial" w:hAnsi="Arial"/>
          <w:sz w:val="24"/>
          <w:szCs w:val="24"/>
        </w:rPr>
        <w:t>an organisation</w:t>
      </w:r>
      <w:r w:rsidRPr="00F47295">
        <w:rPr>
          <w:rFonts w:ascii="Arial" w:eastAsia="Arial" w:hAnsi="Arial"/>
          <w:sz w:val="24"/>
          <w:szCs w:val="24"/>
        </w:rPr>
        <w:t xml:space="preserve"> applies award criteria, </w:t>
      </w:r>
      <w:r w:rsidR="006079A5" w:rsidRPr="00F47295">
        <w:rPr>
          <w:rFonts w:ascii="Arial" w:eastAsia="Arial" w:hAnsi="Arial"/>
          <w:sz w:val="24"/>
          <w:szCs w:val="24"/>
        </w:rPr>
        <w:t>an organisation</w:t>
      </w:r>
      <w:r w:rsidRPr="00F47295">
        <w:rPr>
          <w:rFonts w:ascii="Arial" w:eastAsia="Arial" w:hAnsi="Arial"/>
          <w:sz w:val="24"/>
          <w:szCs w:val="24"/>
        </w:rPr>
        <w:t xml:space="preserve"> must make this available to potential service providers in advance as part of the requirement to publish in the contract notice the conditions for</w:t>
      </w:r>
      <w:r w:rsidR="00F47295">
        <w:rPr>
          <w:rFonts w:ascii="Arial" w:eastAsia="Arial" w:hAnsi="Arial"/>
          <w:sz w:val="24"/>
          <w:szCs w:val="24"/>
        </w:rPr>
        <w:t xml:space="preserve"> </w:t>
      </w:r>
      <w:r w:rsidRPr="00F47295">
        <w:rPr>
          <w:rFonts w:ascii="Arial" w:eastAsia="Arial" w:hAnsi="Arial"/>
          <w:sz w:val="24"/>
          <w:szCs w:val="24"/>
        </w:rPr>
        <w:t xml:space="preserve">participation. It cannot score with reference to other factors or change the award criteria without communicating this to the tenderers and this may require a fresh tendering period. </w:t>
      </w:r>
      <w:r w:rsidR="006079A5" w:rsidRPr="00F47295">
        <w:rPr>
          <w:rFonts w:ascii="Arial" w:eastAsia="Arial" w:hAnsi="Arial"/>
          <w:sz w:val="24"/>
          <w:szCs w:val="24"/>
        </w:rPr>
        <w:t>An organisation</w:t>
      </w:r>
      <w:r w:rsidRPr="00F47295">
        <w:rPr>
          <w:rFonts w:ascii="Arial" w:eastAsia="Arial" w:hAnsi="Arial"/>
          <w:sz w:val="24"/>
          <w:szCs w:val="24"/>
        </w:rPr>
        <w:t xml:space="preserve"> should ensure that it clearly specifies the information it requires to allow a valid comparison of unit costs and to ensure that, for example, there is clarity about whether bids include the cost of potential staff transfers under the </w:t>
      </w:r>
      <w:proofErr w:type="spellStart"/>
      <w:r w:rsidRPr="00F47295">
        <w:rPr>
          <w:rFonts w:ascii="Arial" w:eastAsia="Arial" w:hAnsi="Arial"/>
          <w:color w:val="002A7C"/>
          <w:sz w:val="24"/>
          <w:szCs w:val="24"/>
          <w:u w:val="single"/>
        </w:rPr>
        <w:t>TUPE</w:t>
      </w:r>
      <w:proofErr w:type="spellEnd"/>
      <w:r w:rsidRPr="00F47295">
        <w:rPr>
          <w:rFonts w:ascii="Arial" w:eastAsia="Arial" w:hAnsi="Arial"/>
          <w:color w:val="002A7C"/>
          <w:sz w:val="24"/>
          <w:szCs w:val="24"/>
          <w:u w:val="single"/>
        </w:rPr>
        <w:t xml:space="preserve"> Regulations</w:t>
      </w:r>
    </w:p>
    <w:sectPr w:rsidR="005B45BD" w:rsidRPr="00475420" w:rsidSect="005B651B">
      <w:headerReference w:type="default" r:id="rId8"/>
      <w:footerReference w:type="default" r:id="rId9"/>
      <w:pgSz w:w="11906" w:h="16838" w:code="9"/>
      <w:pgMar w:top="567" w:right="964" w:bottom="567" w:left="964"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61A" w:rsidRDefault="0010061A">
      <w:r>
        <w:separator/>
      </w:r>
    </w:p>
  </w:endnote>
  <w:endnote w:type="continuationSeparator" w:id="0">
    <w:p w:rsidR="0010061A" w:rsidRDefault="0010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20" w:rsidRPr="00475420" w:rsidRDefault="00475420" w:rsidP="00475420">
    <w:pPr>
      <w:jc w:val="right"/>
      <w:rPr>
        <w:rFonts w:ascii="Arial" w:eastAsia="Times New Roman" w:hAnsi="Arial"/>
        <w:b/>
        <w:sz w:val="24"/>
        <w:szCs w:val="24"/>
      </w:rPr>
    </w:pPr>
    <w:r w:rsidRPr="00475420">
      <w:rPr>
        <w:b/>
        <w:bCs/>
        <w:color w:val="CC3300"/>
        <w:sz w:val="24"/>
        <w:szCs w:val="24"/>
      </w:rPr>
      <w:t>Pr</w:t>
    </w:r>
    <w:r w:rsidRPr="00475420">
      <w:rPr>
        <w:rStyle w:val="branding--black"/>
        <w:b/>
        <w:bCs/>
        <w:sz w:val="24"/>
        <w:szCs w:val="24"/>
      </w:rPr>
      <w:t>o</w:t>
    </w:r>
    <w:r w:rsidRPr="00475420">
      <w:rPr>
        <w:b/>
        <w:bCs/>
        <w:color w:val="CC3300"/>
        <w:sz w:val="24"/>
        <w:szCs w:val="24"/>
      </w:rPr>
      <w:t>curement J</w:t>
    </w:r>
    <w:r w:rsidRPr="00475420">
      <w:rPr>
        <w:rStyle w:val="branding--black"/>
        <w:b/>
        <w:bCs/>
        <w:sz w:val="24"/>
        <w:szCs w:val="24"/>
      </w:rPr>
      <w:t>o</w:t>
    </w:r>
    <w:r w:rsidRPr="00475420">
      <w:rPr>
        <w:b/>
        <w:bCs/>
        <w:color w:val="CC3300"/>
        <w:sz w:val="24"/>
        <w:szCs w:val="24"/>
      </w:rPr>
      <w:t>urney</w:t>
    </w:r>
    <w:r w:rsidRPr="00475420">
      <w:rPr>
        <w:b/>
        <w:sz w:val="24"/>
        <w:szCs w:val="24"/>
      </w:rPr>
      <w:t xml:space="preserve"> </w:t>
    </w:r>
  </w:p>
  <w:p w:rsidR="003F2479" w:rsidRPr="00F47295" w:rsidRDefault="000C09F5" w:rsidP="00F47295">
    <w:pPr>
      <w:pStyle w:val="Footer"/>
    </w:pPr>
    <w:proofErr w:type="spellStart"/>
    <w:r>
      <w:t>R3</w:t>
    </w:r>
    <w:proofErr w:type="spellEnd"/>
    <w:r>
      <w:t>-85-A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61A" w:rsidRDefault="0010061A">
      <w:r>
        <w:separator/>
      </w:r>
    </w:p>
  </w:footnote>
  <w:footnote w:type="continuationSeparator" w:id="0">
    <w:p w:rsidR="0010061A" w:rsidRDefault="00100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79" w:rsidRPr="0067486A" w:rsidRDefault="003F2479" w:rsidP="0067486A">
    <w:pPr>
      <w:pStyle w:val="Header"/>
      <w:tabs>
        <w:tab w:val="clear" w:pos="4153"/>
        <w:tab w:val="clear" w:pos="8306"/>
        <w:tab w:val="center" w:pos="450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00073"/>
    <w:multiLevelType w:val="hybridMultilevel"/>
    <w:tmpl w:val="312167AC"/>
    <w:lvl w:ilvl="0" w:tplc="FFFFFFFF">
      <w:start w:val="41"/>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74"/>
    <w:multiLevelType w:val="hybridMultilevel"/>
    <w:tmpl w:val="631B64D4"/>
    <w:lvl w:ilvl="0" w:tplc="FFFFFFFF">
      <w:start w:val="42"/>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77"/>
    <w:multiLevelType w:val="hybridMultilevel"/>
    <w:tmpl w:val="6E534CDE"/>
    <w:lvl w:ilvl="0" w:tplc="FFFFFFFF">
      <w:start w:val="48"/>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0"/>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BD"/>
    <w:rsid w:val="000C09F5"/>
    <w:rsid w:val="000D5A44"/>
    <w:rsid w:val="00100021"/>
    <w:rsid w:val="0010061A"/>
    <w:rsid w:val="001267F7"/>
    <w:rsid w:val="00157346"/>
    <w:rsid w:val="00192DC7"/>
    <w:rsid w:val="002F3688"/>
    <w:rsid w:val="003F2479"/>
    <w:rsid w:val="004043F9"/>
    <w:rsid w:val="00411FC4"/>
    <w:rsid w:val="00475420"/>
    <w:rsid w:val="0049177A"/>
    <w:rsid w:val="004A599B"/>
    <w:rsid w:val="005B45BD"/>
    <w:rsid w:val="005B651B"/>
    <w:rsid w:val="006079A5"/>
    <w:rsid w:val="0067486A"/>
    <w:rsid w:val="006D26F7"/>
    <w:rsid w:val="008B0A0E"/>
    <w:rsid w:val="00911BFC"/>
    <w:rsid w:val="00952710"/>
    <w:rsid w:val="009F71B8"/>
    <w:rsid w:val="00A56EBA"/>
    <w:rsid w:val="00A90A53"/>
    <w:rsid w:val="00AB54FF"/>
    <w:rsid w:val="00AC310B"/>
    <w:rsid w:val="00AE01CB"/>
    <w:rsid w:val="00B54B4A"/>
    <w:rsid w:val="00C86FBA"/>
    <w:rsid w:val="00E3599D"/>
    <w:rsid w:val="00E36759"/>
    <w:rsid w:val="00F47295"/>
    <w:rsid w:val="00FE3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EDA82"/>
  <w15:docId w15:val="{D1EE52D1-AC13-41AE-9989-C314F877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5BD"/>
    <w:rPr>
      <w:rFonts w:ascii="Calibri" w:eastAsia="Calibri" w:hAnsi="Calibri" w:cs="Arial"/>
      <w:sz w:val="20"/>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ind w:left="0" w:firstLine="0"/>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pPr>
  </w:style>
  <w:style w:type="paragraph" w:styleId="Footer">
    <w:name w:val="footer"/>
    <w:basedOn w:val="Normal"/>
    <w:rsid w:val="0067486A"/>
    <w:pPr>
      <w:tabs>
        <w:tab w:val="center" w:pos="4153"/>
        <w:tab w:val="right" w:pos="8306"/>
      </w:tabs>
    </w:pPr>
  </w:style>
  <w:style w:type="character" w:styleId="CommentReference">
    <w:name w:val="annotation reference"/>
    <w:basedOn w:val="DefaultParagraphFont"/>
    <w:uiPriority w:val="99"/>
    <w:semiHidden/>
    <w:unhideWhenUsed/>
    <w:rsid w:val="00FE3E79"/>
    <w:rPr>
      <w:sz w:val="16"/>
      <w:szCs w:val="16"/>
    </w:rPr>
  </w:style>
  <w:style w:type="paragraph" w:styleId="CommentText">
    <w:name w:val="annotation text"/>
    <w:basedOn w:val="Normal"/>
    <w:link w:val="CommentTextChar"/>
    <w:uiPriority w:val="99"/>
    <w:semiHidden/>
    <w:unhideWhenUsed/>
    <w:rsid w:val="00FE3E79"/>
  </w:style>
  <w:style w:type="character" w:customStyle="1" w:styleId="CommentTextChar">
    <w:name w:val="Comment Text Char"/>
    <w:basedOn w:val="DefaultParagraphFont"/>
    <w:link w:val="CommentText"/>
    <w:uiPriority w:val="99"/>
    <w:semiHidden/>
    <w:rsid w:val="00FE3E79"/>
    <w:rPr>
      <w:rFonts w:ascii="Calibri" w:eastAsia="Calibri" w:hAnsi="Calibri" w:cs="Arial"/>
      <w:sz w:val="20"/>
    </w:rPr>
  </w:style>
  <w:style w:type="paragraph" w:styleId="CommentSubject">
    <w:name w:val="annotation subject"/>
    <w:basedOn w:val="CommentText"/>
    <w:next w:val="CommentText"/>
    <w:link w:val="CommentSubjectChar"/>
    <w:uiPriority w:val="99"/>
    <w:semiHidden/>
    <w:unhideWhenUsed/>
    <w:rsid w:val="00FE3E79"/>
    <w:rPr>
      <w:b/>
      <w:bCs/>
    </w:rPr>
  </w:style>
  <w:style w:type="character" w:customStyle="1" w:styleId="CommentSubjectChar">
    <w:name w:val="Comment Subject Char"/>
    <w:basedOn w:val="CommentTextChar"/>
    <w:link w:val="CommentSubject"/>
    <w:uiPriority w:val="99"/>
    <w:semiHidden/>
    <w:rsid w:val="00FE3E79"/>
    <w:rPr>
      <w:rFonts w:ascii="Calibri" w:eastAsia="Calibri" w:hAnsi="Calibri" w:cs="Arial"/>
      <w:b/>
      <w:bCs/>
      <w:sz w:val="20"/>
    </w:rPr>
  </w:style>
  <w:style w:type="paragraph" w:styleId="BalloonText">
    <w:name w:val="Balloon Text"/>
    <w:basedOn w:val="Normal"/>
    <w:link w:val="BalloonTextChar"/>
    <w:uiPriority w:val="99"/>
    <w:semiHidden/>
    <w:unhideWhenUsed/>
    <w:rsid w:val="00FE3E79"/>
    <w:rPr>
      <w:rFonts w:ascii="Tahoma" w:hAnsi="Tahoma" w:cs="Tahoma"/>
      <w:sz w:val="16"/>
      <w:szCs w:val="16"/>
    </w:rPr>
  </w:style>
  <w:style w:type="character" w:customStyle="1" w:styleId="BalloonTextChar">
    <w:name w:val="Balloon Text Char"/>
    <w:basedOn w:val="DefaultParagraphFont"/>
    <w:link w:val="BalloonText"/>
    <w:uiPriority w:val="99"/>
    <w:semiHidden/>
    <w:rsid w:val="00FE3E79"/>
    <w:rPr>
      <w:rFonts w:ascii="Tahoma" w:eastAsia="Calibri" w:hAnsi="Tahoma" w:cs="Tahoma"/>
      <w:sz w:val="16"/>
      <w:szCs w:val="16"/>
    </w:rPr>
  </w:style>
  <w:style w:type="character" w:customStyle="1" w:styleId="branding--black">
    <w:name w:val="branding--black"/>
    <w:basedOn w:val="DefaultParagraphFont"/>
    <w:rsid w:val="00475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318092">
      <w:bodyDiv w:val="1"/>
      <w:marLeft w:val="0"/>
      <w:marRight w:val="0"/>
      <w:marTop w:val="0"/>
      <w:marBottom w:val="0"/>
      <w:divBdr>
        <w:top w:val="none" w:sz="0" w:space="0" w:color="auto"/>
        <w:left w:val="none" w:sz="0" w:space="0" w:color="auto"/>
        <w:bottom w:val="none" w:sz="0" w:space="0" w:color="auto"/>
        <w:right w:val="none" w:sz="0" w:space="0" w:color="auto"/>
      </w:divBdr>
    </w:div>
    <w:div w:id="175042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A28366184</value>
    </field>
    <field name="Objective-Title">
      <value order="0">CSS Award Criteria Guidance</value>
    </field>
    <field name="Objective-Description">
      <value order="0">Updated New Doc</value>
    </field>
    <field name="Objective-CreationStamp">
      <value order="0">2020-05-14T13:51:12Z</value>
    </field>
    <field name="Objective-IsApproved">
      <value order="0">false</value>
    </field>
    <field name="Objective-IsPublished">
      <value order="0">false</value>
    </field>
    <field name="Objective-DatePublished">
      <value order="0"/>
    </field>
    <field name="Objective-ModificationStamp">
      <value order="0">2020-11-06T13:04:24Z</value>
    </field>
    <field name="Objective-Owner">
      <value order="0">Martin, Shaw S (U445518)</value>
    </field>
    <field name="Objective-Path">
      <value order="0">Objective Global Folder:SG File Plan:Government, politics and public administration:Public administration:Procurement:Advice and policy: Procurement:Procurement Development: Best Practice: Procurement Journey Route 4 - 2020: 2020-2025</value>
    </field>
    <field name="Objective-Parent">
      <value order="0">Procurement Development: Best Practice: Procurement Journey Route 4 - 2020: 2020-2025</value>
    </field>
    <field name="Objective-State">
      <value order="0">Being Edited</value>
    </field>
    <field name="Objective-VersionId">
      <value order="0">vA44714618</value>
    </field>
    <field name="Objective-Version">
      <value order="0">1.1</value>
    </field>
    <field name="Objective-VersionNumber">
      <value order="0">2</value>
    </field>
    <field name="Objective-VersionComment">
      <value order="0"/>
    </field>
    <field name="Objective-FileNumber">
      <value order="0">CASE/491146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z608474</dc:creator>
  <cp:lastModifiedBy>Conlan M (Marcus)</cp:lastModifiedBy>
  <cp:revision>2</cp:revision>
  <dcterms:created xsi:type="dcterms:W3CDTF">2020-11-06T13:12:00Z</dcterms:created>
  <dcterms:modified xsi:type="dcterms:W3CDTF">2020-11-06T13:12:00Z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A28366184</vt:lpwstr>
  </property>
  <property fmtid="{D5CDD505-2E9C-101B-9397-08002B2CF9AE}" pid="4" name="Objective-Title">
    <vt:lpwstr>CSS Award Criteria Guidance</vt:lpwstr>
  </property>
  <property fmtid="{D5CDD505-2E9C-101B-9397-08002B2CF9AE}" pid="5" name="Objective-Description">
    <vt:lpwstr>Updated New Doc</vt:lpwstr>
  </property>
  <property fmtid="{D5CDD505-2E9C-101B-9397-08002B2CF9AE}" pid="6" name="Objective-CreationStamp">
    <vt:filetime>2020-05-14T13:51:12Z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2020-11-06T13:04:24Z</vt:filetime>
  </property>
  <property fmtid="{D5CDD505-2E9C-101B-9397-08002B2CF9AE}" pid="11" name="Objective-Owner">
    <vt:lpwstr>Martin, Shaw S (U445518)</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Route 4 - 2020: 2020-2025</vt:lpwstr>
  </property>
  <property fmtid="{D5CDD505-2E9C-101B-9397-08002B2CF9AE}" pid="13" name="Objective-Parent">
    <vt:lpwstr>Procurement Development: Best Practice: Procurement Journey Route 4 - 2020: 2020-2025</vt:lpwstr>
  </property>
  <property fmtid="{D5CDD505-2E9C-101B-9397-08002B2CF9AE}" pid="14" name="Objective-State">
    <vt:lpwstr>Being Edited</vt:lpwstr>
  </property>
  <property fmtid="{D5CDD505-2E9C-101B-9397-08002B2CF9AE}" pid="15" name="Objective-VersionId">
    <vt:lpwstr>vA44714618</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CASE/491146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