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9EB" w:rsidRDefault="000929EB" w:rsidP="000929EB">
      <w:pPr>
        <w:jc w:val="center"/>
        <w:rPr>
          <w:rFonts w:ascii="Arial" w:hAnsi="Arial"/>
          <w:b/>
          <w:color w:val="FFC000"/>
          <w:sz w:val="60"/>
          <w:szCs w:val="60"/>
        </w:rPr>
      </w:pPr>
    </w:p>
    <w:p w:rsidR="000929EB" w:rsidRDefault="000929EB" w:rsidP="000929EB">
      <w:pPr>
        <w:jc w:val="center"/>
        <w:rPr>
          <w:rFonts w:ascii="Arial" w:hAnsi="Arial"/>
          <w:b/>
          <w:color w:val="FFC000"/>
          <w:sz w:val="60"/>
          <w:szCs w:val="60"/>
        </w:rPr>
      </w:pPr>
    </w:p>
    <w:p w:rsidR="000929EB" w:rsidRDefault="000929EB" w:rsidP="000929EB">
      <w:pPr>
        <w:jc w:val="center"/>
        <w:rPr>
          <w:rFonts w:ascii="Arial" w:hAnsi="Arial"/>
          <w:b/>
          <w:color w:val="FFC000"/>
          <w:sz w:val="60"/>
          <w:szCs w:val="60"/>
        </w:rPr>
      </w:pPr>
    </w:p>
    <w:p w:rsidR="000929EB" w:rsidRDefault="000929EB" w:rsidP="000929EB">
      <w:pPr>
        <w:jc w:val="center"/>
        <w:rPr>
          <w:rFonts w:ascii="Arial" w:hAnsi="Arial"/>
          <w:b/>
          <w:color w:val="FFC000"/>
          <w:sz w:val="60"/>
          <w:szCs w:val="60"/>
        </w:rPr>
      </w:pPr>
    </w:p>
    <w:p w:rsidR="000929EB" w:rsidRDefault="000929EB" w:rsidP="000929EB">
      <w:pPr>
        <w:jc w:val="center"/>
        <w:rPr>
          <w:rFonts w:ascii="Arial" w:hAnsi="Arial"/>
          <w:b/>
          <w:color w:val="FFC000"/>
          <w:sz w:val="60"/>
          <w:szCs w:val="60"/>
        </w:rPr>
      </w:pPr>
    </w:p>
    <w:p w:rsidR="000929EB" w:rsidRDefault="000929EB" w:rsidP="000929EB">
      <w:pPr>
        <w:jc w:val="center"/>
        <w:rPr>
          <w:rFonts w:ascii="Arial" w:hAnsi="Arial"/>
          <w:b/>
          <w:color w:val="FFC000"/>
          <w:sz w:val="60"/>
          <w:szCs w:val="60"/>
        </w:rPr>
      </w:pPr>
    </w:p>
    <w:p w:rsidR="000929EB" w:rsidRDefault="000929EB" w:rsidP="000929EB">
      <w:pPr>
        <w:jc w:val="center"/>
        <w:rPr>
          <w:rFonts w:ascii="Arial" w:hAnsi="Arial"/>
          <w:b/>
          <w:color w:val="FFC000"/>
          <w:sz w:val="60"/>
          <w:szCs w:val="60"/>
        </w:rPr>
      </w:pPr>
    </w:p>
    <w:p w:rsidR="000929EB" w:rsidRDefault="000929EB" w:rsidP="000929EB">
      <w:pPr>
        <w:jc w:val="center"/>
        <w:rPr>
          <w:rFonts w:ascii="Arial" w:hAnsi="Arial"/>
          <w:b/>
          <w:color w:val="FFC000"/>
          <w:sz w:val="60"/>
          <w:szCs w:val="60"/>
        </w:rPr>
      </w:pPr>
    </w:p>
    <w:p w:rsidR="000929EB" w:rsidRDefault="000929EB" w:rsidP="000929EB">
      <w:pPr>
        <w:jc w:val="center"/>
        <w:rPr>
          <w:rFonts w:ascii="Arial" w:hAnsi="Arial"/>
          <w:b/>
          <w:color w:val="FFC000"/>
          <w:sz w:val="60"/>
          <w:szCs w:val="60"/>
        </w:rPr>
      </w:pPr>
    </w:p>
    <w:p w:rsidR="00895348" w:rsidRDefault="00895348" w:rsidP="00895348">
      <w:pPr>
        <w:jc w:val="center"/>
        <w:rPr>
          <w:rFonts w:ascii="Arial" w:eastAsia="Times New Roman" w:hAnsi="Arial"/>
          <w:b/>
          <w:sz w:val="28"/>
          <w:szCs w:val="28"/>
        </w:rPr>
      </w:pPr>
      <w:r>
        <w:rPr>
          <w:b/>
          <w:bCs/>
          <w:color w:val="CC3300"/>
          <w:sz w:val="60"/>
          <w:szCs w:val="60"/>
        </w:rPr>
        <w:t>Pr</w:t>
      </w:r>
      <w:r>
        <w:rPr>
          <w:rStyle w:val="branding--black"/>
          <w:b/>
          <w:bCs/>
          <w:sz w:val="60"/>
          <w:szCs w:val="60"/>
        </w:rPr>
        <w:t>o</w:t>
      </w:r>
      <w:r>
        <w:rPr>
          <w:b/>
          <w:bCs/>
          <w:color w:val="CC3300"/>
          <w:sz w:val="60"/>
          <w:szCs w:val="60"/>
        </w:rPr>
        <w:t>curement J</w:t>
      </w:r>
      <w:r>
        <w:rPr>
          <w:rStyle w:val="branding--black"/>
          <w:b/>
          <w:bCs/>
          <w:sz w:val="60"/>
          <w:szCs w:val="60"/>
        </w:rPr>
        <w:t>o</w:t>
      </w:r>
      <w:r>
        <w:rPr>
          <w:b/>
          <w:bCs/>
          <w:color w:val="CC3300"/>
          <w:sz w:val="60"/>
          <w:szCs w:val="60"/>
        </w:rPr>
        <w:t>urney</w:t>
      </w:r>
      <w:r>
        <w:rPr>
          <w:b/>
          <w:sz w:val="28"/>
          <w:szCs w:val="28"/>
        </w:rPr>
        <w:t xml:space="preserve"> </w:t>
      </w:r>
    </w:p>
    <w:p w:rsidR="000929EB" w:rsidRPr="000929EB" w:rsidRDefault="000929EB" w:rsidP="000929EB">
      <w:pPr>
        <w:spacing w:line="0" w:lineRule="atLeast"/>
        <w:ind w:left="6"/>
        <w:jc w:val="center"/>
        <w:rPr>
          <w:rFonts w:ascii="Arial" w:eastAsia="Arial" w:hAnsi="Arial"/>
          <w:b/>
          <w:sz w:val="24"/>
          <w:szCs w:val="24"/>
        </w:rPr>
      </w:pPr>
      <w:r w:rsidRPr="000929EB">
        <w:rPr>
          <w:rFonts w:ascii="Arial" w:hAnsi="Arial"/>
          <w:b/>
          <w:sz w:val="24"/>
          <w:szCs w:val="24"/>
          <w:lang w:val="en"/>
        </w:rPr>
        <w:t>Care and Support Services Contract Type, Duration and Transitional Arrangements</w:t>
      </w:r>
    </w:p>
    <w:p w:rsidR="00E97486" w:rsidRDefault="00E97486">
      <w:pPr>
        <w:rPr>
          <w:rFonts w:ascii="Arial" w:eastAsia="Arial" w:hAnsi="Arial"/>
          <w:b/>
          <w:sz w:val="24"/>
        </w:rPr>
      </w:pPr>
    </w:p>
    <w:p w:rsidR="008B3127" w:rsidRPr="006770B5" w:rsidRDefault="008B3127" w:rsidP="008B3127">
      <w:pPr>
        <w:spacing w:line="0" w:lineRule="atLeast"/>
        <w:ind w:left="6"/>
        <w:rPr>
          <w:rFonts w:ascii="Arial" w:eastAsia="Arial" w:hAnsi="Arial"/>
          <w:b/>
          <w:sz w:val="24"/>
        </w:rPr>
      </w:pPr>
    </w:p>
    <w:p w:rsidR="008B3127" w:rsidRPr="006770B5" w:rsidRDefault="008B3127" w:rsidP="008B3127">
      <w:pPr>
        <w:spacing w:line="0" w:lineRule="atLeast"/>
        <w:ind w:left="6"/>
        <w:rPr>
          <w:rFonts w:ascii="Arial" w:eastAsia="Arial" w:hAnsi="Arial"/>
          <w:b/>
          <w:sz w:val="24"/>
        </w:rPr>
      </w:pPr>
    </w:p>
    <w:p w:rsidR="000929EB" w:rsidRDefault="000929EB" w:rsidP="00F135DF">
      <w:pPr>
        <w:spacing w:line="0" w:lineRule="atLeast"/>
        <w:ind w:left="6"/>
        <w:jc w:val="center"/>
        <w:rPr>
          <w:rFonts w:ascii="Arial" w:hAnsi="Arial"/>
          <w:b/>
          <w:sz w:val="28"/>
          <w:szCs w:val="28"/>
          <w:lang w:val="en"/>
        </w:rPr>
      </w:pPr>
    </w:p>
    <w:p w:rsidR="000929EB" w:rsidRDefault="000929EB" w:rsidP="00F135DF">
      <w:pPr>
        <w:spacing w:line="0" w:lineRule="atLeast"/>
        <w:ind w:left="6"/>
        <w:jc w:val="center"/>
        <w:rPr>
          <w:rFonts w:ascii="Arial" w:hAnsi="Arial"/>
          <w:b/>
          <w:sz w:val="28"/>
          <w:szCs w:val="28"/>
          <w:lang w:val="en"/>
        </w:rPr>
      </w:pPr>
    </w:p>
    <w:p w:rsidR="000929EB" w:rsidRDefault="000929EB" w:rsidP="00F135DF">
      <w:pPr>
        <w:spacing w:line="0" w:lineRule="atLeast"/>
        <w:ind w:left="6"/>
        <w:jc w:val="center"/>
        <w:rPr>
          <w:rFonts w:ascii="Arial" w:hAnsi="Arial"/>
          <w:b/>
          <w:sz w:val="28"/>
          <w:szCs w:val="28"/>
          <w:lang w:val="en"/>
        </w:rPr>
      </w:pPr>
    </w:p>
    <w:p w:rsidR="000929EB" w:rsidRDefault="000929EB" w:rsidP="00F135DF">
      <w:pPr>
        <w:spacing w:line="0" w:lineRule="atLeast"/>
        <w:ind w:left="6"/>
        <w:jc w:val="center"/>
        <w:rPr>
          <w:rFonts w:ascii="Arial" w:hAnsi="Arial"/>
          <w:b/>
          <w:sz w:val="28"/>
          <w:szCs w:val="28"/>
          <w:lang w:val="en"/>
        </w:rPr>
      </w:pPr>
    </w:p>
    <w:p w:rsidR="000929EB" w:rsidRDefault="000929EB" w:rsidP="00F135DF">
      <w:pPr>
        <w:spacing w:line="0" w:lineRule="atLeast"/>
        <w:ind w:left="6"/>
        <w:jc w:val="center"/>
        <w:rPr>
          <w:rFonts w:ascii="Arial" w:hAnsi="Arial"/>
          <w:b/>
          <w:sz w:val="28"/>
          <w:szCs w:val="28"/>
          <w:lang w:val="en"/>
        </w:rPr>
      </w:pPr>
    </w:p>
    <w:p w:rsidR="000929EB" w:rsidRDefault="000929EB" w:rsidP="00F135DF">
      <w:pPr>
        <w:spacing w:line="0" w:lineRule="atLeast"/>
        <w:ind w:left="6"/>
        <w:jc w:val="center"/>
        <w:rPr>
          <w:rFonts w:ascii="Arial" w:hAnsi="Arial"/>
          <w:b/>
          <w:sz w:val="28"/>
          <w:szCs w:val="28"/>
          <w:lang w:val="en"/>
        </w:rPr>
      </w:pPr>
    </w:p>
    <w:p w:rsidR="000929EB" w:rsidRDefault="000929EB" w:rsidP="00F135DF">
      <w:pPr>
        <w:spacing w:line="0" w:lineRule="atLeast"/>
        <w:ind w:left="6"/>
        <w:jc w:val="center"/>
        <w:rPr>
          <w:rFonts w:ascii="Arial" w:hAnsi="Arial"/>
          <w:b/>
          <w:sz w:val="28"/>
          <w:szCs w:val="28"/>
          <w:lang w:val="en"/>
        </w:rPr>
      </w:pPr>
    </w:p>
    <w:p w:rsidR="000929EB" w:rsidRDefault="000929EB" w:rsidP="00F135DF">
      <w:pPr>
        <w:spacing w:line="0" w:lineRule="atLeast"/>
        <w:ind w:left="6"/>
        <w:jc w:val="center"/>
        <w:rPr>
          <w:rFonts w:ascii="Arial" w:hAnsi="Arial"/>
          <w:b/>
          <w:sz w:val="28"/>
          <w:szCs w:val="28"/>
          <w:lang w:val="en"/>
        </w:rPr>
      </w:pPr>
    </w:p>
    <w:p w:rsidR="000929EB" w:rsidRDefault="000929EB" w:rsidP="00F135DF">
      <w:pPr>
        <w:spacing w:line="0" w:lineRule="atLeast"/>
        <w:ind w:left="6"/>
        <w:jc w:val="center"/>
        <w:rPr>
          <w:rFonts w:ascii="Arial" w:hAnsi="Arial"/>
          <w:b/>
          <w:sz w:val="28"/>
          <w:szCs w:val="28"/>
          <w:lang w:val="en"/>
        </w:rPr>
      </w:pPr>
    </w:p>
    <w:p w:rsidR="000929EB" w:rsidRDefault="000929EB" w:rsidP="00F135DF">
      <w:pPr>
        <w:spacing w:line="0" w:lineRule="atLeast"/>
        <w:ind w:left="6"/>
        <w:jc w:val="center"/>
        <w:rPr>
          <w:rFonts w:ascii="Arial" w:hAnsi="Arial"/>
          <w:b/>
          <w:sz w:val="28"/>
          <w:szCs w:val="28"/>
          <w:lang w:val="en"/>
        </w:rPr>
      </w:pPr>
    </w:p>
    <w:p w:rsidR="000929EB" w:rsidRDefault="000929EB" w:rsidP="00F135DF">
      <w:pPr>
        <w:spacing w:line="0" w:lineRule="atLeast"/>
        <w:ind w:left="6"/>
        <w:jc w:val="center"/>
        <w:rPr>
          <w:rFonts w:ascii="Arial" w:hAnsi="Arial"/>
          <w:b/>
          <w:sz w:val="28"/>
          <w:szCs w:val="28"/>
          <w:lang w:val="en"/>
        </w:rPr>
      </w:pPr>
    </w:p>
    <w:p w:rsidR="000929EB" w:rsidRDefault="000929EB" w:rsidP="00F135DF">
      <w:pPr>
        <w:spacing w:line="0" w:lineRule="atLeast"/>
        <w:ind w:left="6"/>
        <w:jc w:val="center"/>
        <w:rPr>
          <w:rFonts w:ascii="Arial" w:hAnsi="Arial"/>
          <w:b/>
          <w:sz w:val="28"/>
          <w:szCs w:val="28"/>
          <w:lang w:val="en"/>
        </w:rPr>
      </w:pPr>
    </w:p>
    <w:p w:rsidR="000929EB" w:rsidRDefault="000929EB" w:rsidP="00F135DF">
      <w:pPr>
        <w:spacing w:line="0" w:lineRule="atLeast"/>
        <w:ind w:left="6"/>
        <w:jc w:val="center"/>
        <w:rPr>
          <w:rFonts w:ascii="Arial" w:hAnsi="Arial"/>
          <w:b/>
          <w:sz w:val="28"/>
          <w:szCs w:val="28"/>
          <w:lang w:val="en"/>
        </w:rPr>
      </w:pPr>
    </w:p>
    <w:p w:rsidR="000929EB" w:rsidRDefault="000929EB" w:rsidP="00F135DF">
      <w:pPr>
        <w:spacing w:line="0" w:lineRule="atLeast"/>
        <w:ind w:left="6"/>
        <w:jc w:val="center"/>
        <w:rPr>
          <w:rFonts w:ascii="Arial" w:hAnsi="Arial"/>
          <w:b/>
          <w:sz w:val="28"/>
          <w:szCs w:val="28"/>
          <w:lang w:val="en"/>
        </w:rPr>
      </w:pPr>
    </w:p>
    <w:p w:rsidR="000929EB" w:rsidRDefault="000929EB" w:rsidP="00F135DF">
      <w:pPr>
        <w:spacing w:line="0" w:lineRule="atLeast"/>
        <w:ind w:left="6"/>
        <w:jc w:val="center"/>
        <w:rPr>
          <w:rFonts w:ascii="Arial" w:hAnsi="Arial"/>
          <w:b/>
          <w:sz w:val="28"/>
          <w:szCs w:val="28"/>
          <w:lang w:val="en"/>
        </w:rPr>
      </w:pPr>
    </w:p>
    <w:p w:rsidR="000929EB" w:rsidRDefault="000929EB" w:rsidP="00F135DF">
      <w:pPr>
        <w:spacing w:line="0" w:lineRule="atLeast"/>
        <w:ind w:left="6"/>
        <w:jc w:val="center"/>
        <w:rPr>
          <w:rFonts w:ascii="Arial" w:hAnsi="Arial"/>
          <w:b/>
          <w:sz w:val="28"/>
          <w:szCs w:val="28"/>
          <w:lang w:val="en"/>
        </w:rPr>
      </w:pPr>
    </w:p>
    <w:p w:rsidR="000929EB" w:rsidRDefault="000929EB" w:rsidP="00F135DF">
      <w:pPr>
        <w:spacing w:line="0" w:lineRule="atLeast"/>
        <w:ind w:left="6"/>
        <w:jc w:val="center"/>
        <w:rPr>
          <w:rFonts w:ascii="Arial" w:hAnsi="Arial"/>
          <w:b/>
          <w:sz w:val="28"/>
          <w:szCs w:val="28"/>
          <w:lang w:val="en"/>
        </w:rPr>
      </w:pPr>
    </w:p>
    <w:p w:rsidR="000929EB" w:rsidRDefault="000929EB" w:rsidP="00F135DF">
      <w:pPr>
        <w:spacing w:line="0" w:lineRule="atLeast"/>
        <w:ind w:left="6"/>
        <w:jc w:val="center"/>
        <w:rPr>
          <w:rFonts w:ascii="Arial" w:hAnsi="Arial"/>
          <w:b/>
          <w:sz w:val="28"/>
          <w:szCs w:val="28"/>
          <w:lang w:val="en"/>
        </w:rPr>
      </w:pPr>
    </w:p>
    <w:p w:rsidR="000929EB" w:rsidRDefault="000929EB" w:rsidP="00F135DF">
      <w:pPr>
        <w:spacing w:line="0" w:lineRule="atLeast"/>
        <w:ind w:left="6"/>
        <w:jc w:val="center"/>
        <w:rPr>
          <w:rFonts w:ascii="Arial" w:hAnsi="Arial"/>
          <w:b/>
          <w:sz w:val="28"/>
          <w:szCs w:val="28"/>
          <w:lang w:val="en"/>
        </w:rPr>
      </w:pPr>
    </w:p>
    <w:p w:rsidR="000929EB" w:rsidRDefault="000929EB" w:rsidP="00F135DF">
      <w:pPr>
        <w:spacing w:line="0" w:lineRule="atLeast"/>
        <w:ind w:left="6"/>
        <w:jc w:val="center"/>
        <w:rPr>
          <w:rFonts w:ascii="Arial" w:hAnsi="Arial"/>
          <w:b/>
          <w:sz w:val="28"/>
          <w:szCs w:val="28"/>
          <w:lang w:val="en"/>
        </w:rPr>
      </w:pPr>
    </w:p>
    <w:p w:rsidR="000929EB" w:rsidRDefault="000929EB" w:rsidP="00F135DF">
      <w:pPr>
        <w:spacing w:line="0" w:lineRule="atLeast"/>
        <w:ind w:left="6"/>
        <w:jc w:val="center"/>
        <w:rPr>
          <w:rFonts w:ascii="Arial" w:hAnsi="Arial"/>
          <w:b/>
          <w:sz w:val="28"/>
          <w:szCs w:val="28"/>
          <w:lang w:val="en"/>
        </w:rPr>
      </w:pPr>
    </w:p>
    <w:p w:rsidR="007758CA" w:rsidRPr="006770B5" w:rsidRDefault="007758CA" w:rsidP="00F135DF">
      <w:pPr>
        <w:spacing w:line="0" w:lineRule="atLeast"/>
        <w:ind w:left="6"/>
        <w:jc w:val="center"/>
        <w:rPr>
          <w:rFonts w:ascii="Arial" w:eastAsia="Arial" w:hAnsi="Arial"/>
          <w:b/>
          <w:sz w:val="28"/>
          <w:szCs w:val="28"/>
        </w:rPr>
      </w:pPr>
      <w:r w:rsidRPr="006770B5">
        <w:rPr>
          <w:rFonts w:ascii="Arial" w:hAnsi="Arial"/>
          <w:b/>
          <w:sz w:val="28"/>
          <w:szCs w:val="28"/>
          <w:lang w:val="en"/>
        </w:rPr>
        <w:lastRenderedPageBreak/>
        <w:t>Care and Support Services Contract Type, Duration and Transitional Arrangements</w:t>
      </w:r>
    </w:p>
    <w:p w:rsidR="007758CA" w:rsidRPr="006770B5" w:rsidRDefault="007758CA" w:rsidP="00F135DF">
      <w:pPr>
        <w:spacing w:line="0" w:lineRule="atLeast"/>
        <w:ind w:left="6"/>
        <w:jc w:val="center"/>
        <w:rPr>
          <w:rFonts w:ascii="Arial" w:eastAsia="Arial" w:hAnsi="Arial"/>
          <w:b/>
          <w:sz w:val="28"/>
          <w:szCs w:val="28"/>
        </w:rPr>
      </w:pPr>
    </w:p>
    <w:p w:rsidR="008B3127" w:rsidRPr="006770B5" w:rsidRDefault="00F54A13" w:rsidP="00F135DF">
      <w:pPr>
        <w:spacing w:line="0" w:lineRule="atLeast"/>
        <w:ind w:left="6"/>
        <w:jc w:val="center"/>
        <w:rPr>
          <w:rFonts w:ascii="Arial" w:eastAsia="Arial" w:hAnsi="Arial"/>
          <w:b/>
          <w:sz w:val="28"/>
          <w:szCs w:val="28"/>
        </w:rPr>
      </w:pPr>
      <w:r>
        <w:rPr>
          <w:rFonts w:ascii="Arial" w:eastAsia="Arial" w:hAnsi="Arial"/>
          <w:b/>
          <w:sz w:val="28"/>
          <w:szCs w:val="28"/>
        </w:rPr>
        <w:t>Determining the Type and Duration of the C</w:t>
      </w:r>
      <w:r w:rsidR="008B3127" w:rsidRPr="006770B5">
        <w:rPr>
          <w:rFonts w:ascii="Arial" w:eastAsia="Arial" w:hAnsi="Arial"/>
          <w:b/>
          <w:sz w:val="28"/>
          <w:szCs w:val="28"/>
        </w:rPr>
        <w:t>ontract</w:t>
      </w:r>
    </w:p>
    <w:p w:rsidR="008B3127" w:rsidRPr="006770B5" w:rsidRDefault="008B3127" w:rsidP="008B3127">
      <w:pPr>
        <w:spacing w:line="184" w:lineRule="exact"/>
        <w:rPr>
          <w:rFonts w:ascii="Arial" w:eastAsia="Times New Roman" w:hAnsi="Arial"/>
        </w:rPr>
      </w:pPr>
    </w:p>
    <w:p w:rsidR="008B3127" w:rsidRPr="000929EB" w:rsidRDefault="006770B5" w:rsidP="000929EB">
      <w:pPr>
        <w:tabs>
          <w:tab w:val="left" w:pos="686"/>
        </w:tabs>
        <w:spacing w:line="256" w:lineRule="auto"/>
        <w:ind w:left="686" w:right="120"/>
        <w:jc w:val="both"/>
        <w:rPr>
          <w:rFonts w:ascii="Arial" w:eastAsia="Arial" w:hAnsi="Arial"/>
          <w:color w:val="000000"/>
          <w:sz w:val="24"/>
          <w:szCs w:val="24"/>
        </w:rPr>
      </w:pPr>
      <w:r w:rsidRPr="000929EB">
        <w:rPr>
          <w:rFonts w:ascii="Arial" w:eastAsia="Arial" w:hAnsi="Arial"/>
          <w:noProof/>
          <w:color w:val="000000"/>
          <w:sz w:val="24"/>
          <w:szCs w:val="24"/>
        </w:rPr>
        <w:drawing>
          <wp:anchor distT="0" distB="0" distL="114300" distR="114300" simplePos="0" relativeHeight="251675648" behindDoc="1" locked="0" layoutInCell="1" allowOverlap="1" wp14:anchorId="7F5E7D62" wp14:editId="66FD058C">
            <wp:simplePos x="0" y="0"/>
            <wp:positionH relativeFrom="column">
              <wp:posOffset>432435</wp:posOffset>
            </wp:positionH>
            <wp:positionV relativeFrom="paragraph">
              <wp:posOffset>1123315</wp:posOffset>
            </wp:positionV>
            <wp:extent cx="5457825" cy="4441825"/>
            <wp:effectExtent l="0" t="0" r="9525" b="0"/>
            <wp:wrapTight wrapText="bothSides">
              <wp:wrapPolygon edited="0">
                <wp:start x="0" y="0"/>
                <wp:lineTo x="0" y="21492"/>
                <wp:lineTo x="21562" y="21492"/>
                <wp:lineTo x="21562"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8">
                      <a:extLst>
                        <a:ext uri="{28A0092B-C50C-407E-A947-70E740481C1C}">
                          <a14:useLocalDpi xmlns:a14="http://schemas.microsoft.com/office/drawing/2010/main" val="0"/>
                        </a:ext>
                      </a:extLst>
                    </a:blip>
                    <a:stretch>
                      <a:fillRect/>
                    </a:stretch>
                  </pic:blipFill>
                  <pic:spPr>
                    <a:xfrm>
                      <a:off x="0" y="0"/>
                      <a:ext cx="5457825" cy="4441825"/>
                    </a:xfrm>
                    <a:prstGeom prst="rect">
                      <a:avLst/>
                    </a:prstGeom>
                  </pic:spPr>
                </pic:pic>
              </a:graphicData>
            </a:graphic>
            <wp14:sizeRelH relativeFrom="page">
              <wp14:pctWidth>0</wp14:pctWidth>
            </wp14:sizeRelH>
            <wp14:sizeRelV relativeFrom="page">
              <wp14:pctHeight>0</wp14:pctHeight>
            </wp14:sizeRelV>
          </wp:anchor>
        </w:drawing>
      </w:r>
      <w:r w:rsidR="00835CB7" w:rsidRPr="000929EB">
        <w:rPr>
          <w:rFonts w:ascii="Arial" w:eastAsia="Arial" w:hAnsi="Arial"/>
          <w:sz w:val="24"/>
          <w:szCs w:val="24"/>
        </w:rPr>
        <w:t>An organisation</w:t>
      </w:r>
      <w:r w:rsidR="008B3127" w:rsidRPr="000929EB">
        <w:rPr>
          <w:rFonts w:ascii="Arial" w:eastAsia="Arial" w:hAnsi="Arial"/>
          <w:sz w:val="24"/>
          <w:szCs w:val="24"/>
        </w:rPr>
        <w:t>’s policies and procedures for the procurement for care and support services should identify an appropriate range of contracting mechanisms and provide a rationale for selecting different mechanisms, based on best value, the need for service continuity and desired outcomes for individuals. Individual procurement plans (se</w:t>
      </w:r>
      <w:r w:rsidR="00F135DF" w:rsidRPr="000929EB">
        <w:rPr>
          <w:rFonts w:ascii="Arial" w:eastAsia="Arial" w:hAnsi="Arial"/>
          <w:sz w:val="24"/>
          <w:szCs w:val="24"/>
        </w:rPr>
        <w:t>e below</w:t>
      </w:r>
      <w:r w:rsidR="008B3127" w:rsidRPr="000929EB">
        <w:rPr>
          <w:rFonts w:ascii="Arial" w:eastAsia="Arial" w:hAnsi="Arial"/>
          <w:color w:val="000000"/>
          <w:sz w:val="24"/>
          <w:szCs w:val="24"/>
        </w:rPr>
        <w:t>) should describe the type and duration of the proposed contract or</w:t>
      </w:r>
      <w:r w:rsidR="008B3127" w:rsidRPr="000929EB">
        <w:rPr>
          <w:rFonts w:ascii="Arial" w:eastAsia="Arial" w:hAnsi="Arial"/>
          <w:b/>
          <w:color w:val="002A7C"/>
          <w:sz w:val="24"/>
          <w:szCs w:val="24"/>
        </w:rPr>
        <w:t xml:space="preserve"> </w:t>
      </w:r>
      <w:r w:rsidR="008B3127" w:rsidRPr="000929EB">
        <w:rPr>
          <w:rFonts w:ascii="Arial" w:eastAsia="Arial" w:hAnsi="Arial"/>
          <w:color w:val="000000"/>
          <w:sz w:val="24"/>
          <w:szCs w:val="24"/>
        </w:rPr>
        <w:t>framework agreement.</w:t>
      </w:r>
    </w:p>
    <w:p w:rsidR="00F135DF" w:rsidRPr="000929EB" w:rsidRDefault="00F135DF" w:rsidP="000929EB">
      <w:pPr>
        <w:tabs>
          <w:tab w:val="left" w:pos="686"/>
        </w:tabs>
        <w:spacing w:line="256" w:lineRule="auto"/>
        <w:ind w:left="686" w:right="120"/>
        <w:jc w:val="both"/>
        <w:rPr>
          <w:rFonts w:ascii="Arial" w:eastAsia="Arial" w:hAnsi="Arial"/>
          <w:color w:val="000000"/>
          <w:sz w:val="24"/>
          <w:szCs w:val="24"/>
        </w:rPr>
      </w:pPr>
    </w:p>
    <w:p w:rsidR="00F135DF" w:rsidRPr="000929EB" w:rsidRDefault="00F135DF" w:rsidP="000929EB">
      <w:pPr>
        <w:tabs>
          <w:tab w:val="left" w:pos="686"/>
        </w:tabs>
        <w:spacing w:line="256" w:lineRule="auto"/>
        <w:ind w:left="686" w:right="120"/>
        <w:jc w:val="both"/>
        <w:rPr>
          <w:rFonts w:ascii="Arial" w:eastAsia="Arial" w:hAnsi="Arial"/>
          <w:sz w:val="24"/>
          <w:szCs w:val="24"/>
        </w:rPr>
      </w:pPr>
    </w:p>
    <w:p w:rsidR="008B3127" w:rsidRPr="000929EB" w:rsidRDefault="008B3127" w:rsidP="000929EB">
      <w:pPr>
        <w:spacing w:line="200" w:lineRule="exact"/>
        <w:jc w:val="both"/>
        <w:rPr>
          <w:rFonts w:ascii="Arial" w:eastAsia="Arial" w:hAnsi="Arial"/>
          <w:sz w:val="24"/>
          <w:szCs w:val="24"/>
        </w:rPr>
      </w:pPr>
    </w:p>
    <w:p w:rsidR="008B3127" w:rsidRPr="000929EB" w:rsidRDefault="008B3127" w:rsidP="000929EB">
      <w:pPr>
        <w:spacing w:line="353" w:lineRule="exact"/>
        <w:jc w:val="both"/>
        <w:rPr>
          <w:rFonts w:ascii="Arial" w:eastAsia="Arial" w:hAnsi="Arial"/>
          <w:sz w:val="24"/>
          <w:szCs w:val="24"/>
        </w:rPr>
      </w:pPr>
    </w:p>
    <w:p w:rsidR="00F135DF" w:rsidRPr="000929EB" w:rsidRDefault="00F135DF" w:rsidP="000929EB">
      <w:pPr>
        <w:tabs>
          <w:tab w:val="left" w:pos="686"/>
        </w:tabs>
        <w:spacing w:line="263" w:lineRule="auto"/>
        <w:ind w:left="686" w:right="180"/>
        <w:jc w:val="both"/>
        <w:rPr>
          <w:rFonts w:ascii="Arial" w:eastAsia="Arial" w:hAnsi="Arial"/>
          <w:sz w:val="24"/>
          <w:szCs w:val="24"/>
        </w:rPr>
      </w:pPr>
    </w:p>
    <w:p w:rsidR="008B3127" w:rsidRPr="000929EB" w:rsidRDefault="008B3127" w:rsidP="000929EB">
      <w:pPr>
        <w:tabs>
          <w:tab w:val="left" w:pos="686"/>
        </w:tabs>
        <w:spacing w:line="263" w:lineRule="auto"/>
        <w:ind w:left="686" w:right="180"/>
        <w:jc w:val="both"/>
        <w:rPr>
          <w:rFonts w:ascii="Arial" w:eastAsia="Arial" w:hAnsi="Arial"/>
          <w:sz w:val="24"/>
          <w:szCs w:val="24"/>
        </w:rPr>
      </w:pPr>
      <w:r w:rsidRPr="000929EB">
        <w:rPr>
          <w:rFonts w:ascii="Arial" w:eastAsia="Arial" w:hAnsi="Arial"/>
          <w:sz w:val="24"/>
          <w:szCs w:val="24"/>
        </w:rPr>
        <w:t xml:space="preserve"> </w:t>
      </w:r>
      <w:r w:rsidR="00835CB7" w:rsidRPr="000929EB">
        <w:rPr>
          <w:rFonts w:ascii="Arial" w:eastAsia="Arial" w:hAnsi="Arial"/>
          <w:sz w:val="24"/>
          <w:szCs w:val="24"/>
        </w:rPr>
        <w:t>An organisation</w:t>
      </w:r>
      <w:r w:rsidRPr="000929EB">
        <w:rPr>
          <w:rFonts w:ascii="Arial" w:eastAsia="Arial" w:hAnsi="Arial"/>
          <w:sz w:val="24"/>
          <w:szCs w:val="24"/>
        </w:rPr>
        <w:t xml:space="preserve"> should determine the most appropriate contractual mechanism on a case-by-case basis and ensure that suitable contracts are in place with all providers delivering care and support services.</w:t>
      </w:r>
    </w:p>
    <w:p w:rsidR="008B3127" w:rsidRPr="000929EB" w:rsidRDefault="008B3127" w:rsidP="000929EB">
      <w:pPr>
        <w:spacing w:line="252" w:lineRule="exact"/>
        <w:jc w:val="both"/>
        <w:rPr>
          <w:rFonts w:ascii="Arial" w:eastAsia="Arial" w:hAnsi="Arial"/>
          <w:sz w:val="24"/>
          <w:szCs w:val="24"/>
        </w:rPr>
      </w:pPr>
    </w:p>
    <w:p w:rsidR="008B3127" w:rsidRPr="000929EB" w:rsidRDefault="008B3127" w:rsidP="000929EB">
      <w:pPr>
        <w:tabs>
          <w:tab w:val="left" w:pos="686"/>
        </w:tabs>
        <w:spacing w:line="0" w:lineRule="atLeast"/>
        <w:ind w:left="686"/>
        <w:jc w:val="both"/>
        <w:rPr>
          <w:rFonts w:ascii="Arial" w:eastAsia="Arial" w:hAnsi="Arial"/>
          <w:sz w:val="24"/>
          <w:szCs w:val="24"/>
        </w:rPr>
      </w:pPr>
      <w:r w:rsidRPr="000929EB">
        <w:rPr>
          <w:rFonts w:ascii="Arial" w:eastAsia="Arial" w:hAnsi="Arial"/>
          <w:sz w:val="24"/>
          <w:szCs w:val="24"/>
        </w:rPr>
        <w:t>Contracts will typically comprise a number of documents:</w:t>
      </w:r>
    </w:p>
    <w:p w:rsidR="008B3127" w:rsidRPr="000929EB" w:rsidRDefault="008B3127" w:rsidP="000929EB">
      <w:pPr>
        <w:spacing w:line="182" w:lineRule="exact"/>
        <w:jc w:val="both"/>
        <w:rPr>
          <w:rFonts w:ascii="Arial" w:eastAsia="Arial" w:hAnsi="Arial"/>
          <w:sz w:val="24"/>
          <w:szCs w:val="24"/>
        </w:rPr>
      </w:pPr>
    </w:p>
    <w:p w:rsidR="008B3127" w:rsidRPr="000929EB" w:rsidRDefault="008B3127" w:rsidP="000929EB">
      <w:pPr>
        <w:numPr>
          <w:ilvl w:val="1"/>
          <w:numId w:val="5"/>
        </w:numPr>
        <w:tabs>
          <w:tab w:val="left" w:pos="966"/>
        </w:tabs>
        <w:spacing w:line="273" w:lineRule="auto"/>
        <w:ind w:left="966" w:right="460" w:hanging="286"/>
        <w:jc w:val="both"/>
        <w:rPr>
          <w:rFonts w:ascii="Arial" w:eastAsia="Arial" w:hAnsi="Arial"/>
          <w:sz w:val="24"/>
          <w:szCs w:val="24"/>
        </w:rPr>
      </w:pPr>
      <w:r w:rsidRPr="000929EB">
        <w:rPr>
          <w:rFonts w:ascii="Arial" w:eastAsia="Arial" w:hAnsi="Arial"/>
          <w:sz w:val="24"/>
          <w:szCs w:val="24"/>
        </w:rPr>
        <w:t xml:space="preserve">the general terms and conditions which set out the obligations of the </w:t>
      </w:r>
      <w:r w:rsidR="00835CB7" w:rsidRPr="000929EB">
        <w:rPr>
          <w:rFonts w:ascii="Arial" w:eastAsia="Arial" w:hAnsi="Arial"/>
          <w:sz w:val="24"/>
          <w:szCs w:val="24"/>
        </w:rPr>
        <w:t>organisation</w:t>
      </w:r>
      <w:r w:rsidRPr="000929EB">
        <w:rPr>
          <w:rFonts w:ascii="Arial" w:eastAsia="Arial" w:hAnsi="Arial"/>
          <w:sz w:val="24"/>
          <w:szCs w:val="24"/>
        </w:rPr>
        <w:t xml:space="preserve"> and service provider; and</w:t>
      </w:r>
    </w:p>
    <w:p w:rsidR="008B3127" w:rsidRPr="000929EB" w:rsidRDefault="008B3127" w:rsidP="000929EB">
      <w:pPr>
        <w:spacing w:line="118" w:lineRule="exact"/>
        <w:jc w:val="both"/>
        <w:rPr>
          <w:rFonts w:ascii="Arial" w:eastAsia="Arial" w:hAnsi="Arial"/>
          <w:sz w:val="24"/>
          <w:szCs w:val="24"/>
        </w:rPr>
      </w:pPr>
    </w:p>
    <w:p w:rsidR="008B3127" w:rsidRPr="000929EB" w:rsidRDefault="008B3127" w:rsidP="000929EB">
      <w:pPr>
        <w:numPr>
          <w:ilvl w:val="1"/>
          <w:numId w:val="5"/>
        </w:numPr>
        <w:tabs>
          <w:tab w:val="left" w:pos="966"/>
        </w:tabs>
        <w:spacing w:line="269" w:lineRule="auto"/>
        <w:ind w:left="966" w:right="180" w:hanging="286"/>
        <w:jc w:val="both"/>
        <w:rPr>
          <w:rFonts w:ascii="Arial" w:eastAsia="Arial" w:hAnsi="Arial"/>
          <w:sz w:val="24"/>
          <w:szCs w:val="24"/>
        </w:rPr>
      </w:pPr>
      <w:r w:rsidRPr="000929EB">
        <w:rPr>
          <w:rFonts w:ascii="Arial" w:eastAsia="Arial" w:hAnsi="Arial"/>
          <w:sz w:val="24"/>
          <w:szCs w:val="24"/>
        </w:rPr>
        <w:t>schedules, including the service specification, which set out the specific details of the services to be provided and the arrangements for their provision.</w:t>
      </w:r>
    </w:p>
    <w:p w:rsidR="008B3127" w:rsidRPr="000929EB" w:rsidRDefault="008B3127" w:rsidP="000929EB">
      <w:pPr>
        <w:tabs>
          <w:tab w:val="left" w:pos="2506"/>
        </w:tabs>
        <w:spacing w:line="0" w:lineRule="atLeast"/>
        <w:ind w:left="2506"/>
        <w:jc w:val="both"/>
        <w:rPr>
          <w:rFonts w:ascii="Arial" w:eastAsia="Arial" w:hAnsi="Arial"/>
          <w:color w:val="333333"/>
          <w:sz w:val="24"/>
          <w:szCs w:val="24"/>
        </w:rPr>
      </w:pPr>
      <w:bookmarkStart w:id="0" w:name="page57"/>
      <w:bookmarkEnd w:id="0"/>
    </w:p>
    <w:p w:rsidR="008B3127" w:rsidRPr="000929EB" w:rsidRDefault="008B3127" w:rsidP="000929EB">
      <w:pPr>
        <w:spacing w:line="200" w:lineRule="exact"/>
        <w:jc w:val="both"/>
        <w:rPr>
          <w:rFonts w:ascii="Arial" w:eastAsia="Arial" w:hAnsi="Arial"/>
          <w:color w:val="333333"/>
          <w:sz w:val="24"/>
          <w:szCs w:val="24"/>
        </w:rPr>
      </w:pPr>
    </w:p>
    <w:p w:rsidR="008B3127" w:rsidRPr="000929EB" w:rsidRDefault="008B3127" w:rsidP="000929EB">
      <w:pPr>
        <w:spacing w:line="241" w:lineRule="exact"/>
        <w:jc w:val="both"/>
        <w:rPr>
          <w:rFonts w:ascii="Arial" w:eastAsia="Arial" w:hAnsi="Arial"/>
          <w:color w:val="333333"/>
          <w:sz w:val="24"/>
          <w:szCs w:val="24"/>
        </w:rPr>
      </w:pPr>
    </w:p>
    <w:p w:rsidR="008B3127" w:rsidRPr="000929EB" w:rsidRDefault="008B3127" w:rsidP="000929EB">
      <w:pPr>
        <w:tabs>
          <w:tab w:val="left" w:pos="686"/>
        </w:tabs>
        <w:spacing w:line="255" w:lineRule="auto"/>
        <w:ind w:left="686"/>
        <w:jc w:val="both"/>
        <w:rPr>
          <w:rFonts w:ascii="Arial" w:eastAsia="Arial" w:hAnsi="Arial"/>
          <w:sz w:val="24"/>
          <w:szCs w:val="24"/>
        </w:rPr>
      </w:pPr>
      <w:r w:rsidRPr="000929EB">
        <w:rPr>
          <w:rFonts w:ascii="Arial" w:eastAsia="Arial" w:hAnsi="Arial"/>
          <w:sz w:val="24"/>
          <w:szCs w:val="24"/>
        </w:rPr>
        <w:t>Contracts for care and support services have traditionally required specific activities to be undertaken at specific times, with payment contingent upon inputs (resources) and outputs (service levels). The success of a contract has been determined by the extent to which the service provider has delivered the prescribed service. Contracts should be outcome-based. Outcome-based contracting is designed to shift the focus from activities to results. The success of a contract is determined by the extent to which the service provider can demonstrate progress towards achieving the specified outcomes. An outcome-based contract should include:</w:t>
      </w:r>
    </w:p>
    <w:p w:rsidR="008B3127" w:rsidRPr="000929EB" w:rsidRDefault="008B3127" w:rsidP="000929EB">
      <w:pPr>
        <w:spacing w:line="139" w:lineRule="exact"/>
        <w:jc w:val="both"/>
        <w:rPr>
          <w:rFonts w:ascii="Arial" w:eastAsia="Arial" w:hAnsi="Arial"/>
          <w:sz w:val="24"/>
          <w:szCs w:val="24"/>
        </w:rPr>
      </w:pPr>
    </w:p>
    <w:p w:rsidR="00256A9C" w:rsidRPr="000929EB" w:rsidRDefault="008B3127" w:rsidP="000929EB">
      <w:pPr>
        <w:numPr>
          <w:ilvl w:val="1"/>
          <w:numId w:val="7"/>
        </w:numPr>
        <w:tabs>
          <w:tab w:val="left" w:pos="966"/>
        </w:tabs>
        <w:spacing w:line="273" w:lineRule="auto"/>
        <w:ind w:left="966" w:right="220" w:hanging="286"/>
        <w:jc w:val="both"/>
        <w:rPr>
          <w:rFonts w:ascii="Arial" w:eastAsia="Arial" w:hAnsi="Arial"/>
          <w:sz w:val="24"/>
          <w:szCs w:val="24"/>
        </w:rPr>
      </w:pPr>
      <w:r w:rsidRPr="000929EB">
        <w:rPr>
          <w:rFonts w:ascii="Arial" w:eastAsia="Arial" w:hAnsi="Arial"/>
          <w:sz w:val="24"/>
          <w:szCs w:val="24"/>
        </w:rPr>
        <w:t>the outcomes to be achieved – these must be realistic and take account of external factors which might impede progress;</w:t>
      </w:r>
    </w:p>
    <w:p w:rsidR="00256A9C" w:rsidRPr="000929EB" w:rsidRDefault="008B3127" w:rsidP="000929EB">
      <w:pPr>
        <w:numPr>
          <w:ilvl w:val="1"/>
          <w:numId w:val="7"/>
        </w:numPr>
        <w:tabs>
          <w:tab w:val="left" w:pos="966"/>
        </w:tabs>
        <w:spacing w:line="273" w:lineRule="auto"/>
        <w:ind w:left="966" w:right="220" w:hanging="286"/>
        <w:jc w:val="both"/>
        <w:rPr>
          <w:rFonts w:ascii="Arial" w:eastAsia="Arial" w:hAnsi="Arial"/>
          <w:sz w:val="24"/>
          <w:szCs w:val="24"/>
        </w:rPr>
      </w:pPr>
      <w:r w:rsidRPr="000929EB">
        <w:rPr>
          <w:rFonts w:ascii="Arial" w:eastAsia="Arial" w:hAnsi="Arial"/>
          <w:sz w:val="24"/>
          <w:szCs w:val="24"/>
        </w:rPr>
        <w:t>clear performance expectations and measures;</w:t>
      </w:r>
    </w:p>
    <w:p w:rsidR="00256A9C" w:rsidRPr="000929EB" w:rsidRDefault="008B3127" w:rsidP="000929EB">
      <w:pPr>
        <w:numPr>
          <w:ilvl w:val="1"/>
          <w:numId w:val="7"/>
        </w:numPr>
        <w:tabs>
          <w:tab w:val="left" w:pos="966"/>
        </w:tabs>
        <w:spacing w:line="0" w:lineRule="atLeast"/>
        <w:ind w:left="966" w:hanging="286"/>
        <w:jc w:val="both"/>
        <w:rPr>
          <w:rFonts w:ascii="Arial" w:eastAsia="Arial" w:hAnsi="Arial"/>
          <w:sz w:val="24"/>
          <w:szCs w:val="24"/>
        </w:rPr>
      </w:pPr>
      <w:r w:rsidRPr="000929EB">
        <w:rPr>
          <w:rFonts w:ascii="Arial" w:eastAsia="Arial" w:hAnsi="Arial"/>
          <w:sz w:val="24"/>
          <w:szCs w:val="24"/>
        </w:rPr>
        <w:t>key milestones which indicate progress and dates for achieving these; and</w:t>
      </w:r>
    </w:p>
    <w:p w:rsidR="008B3127" w:rsidRPr="000929EB" w:rsidRDefault="008B3127" w:rsidP="000929EB">
      <w:pPr>
        <w:numPr>
          <w:ilvl w:val="1"/>
          <w:numId w:val="7"/>
        </w:numPr>
        <w:tabs>
          <w:tab w:val="left" w:pos="966"/>
        </w:tabs>
        <w:spacing w:line="0" w:lineRule="atLeast"/>
        <w:ind w:left="966" w:hanging="286"/>
        <w:jc w:val="both"/>
        <w:rPr>
          <w:rFonts w:ascii="Arial" w:eastAsia="Arial" w:hAnsi="Arial"/>
          <w:sz w:val="24"/>
          <w:szCs w:val="24"/>
        </w:rPr>
      </w:pPr>
      <w:r w:rsidRPr="000929EB">
        <w:rPr>
          <w:rFonts w:ascii="Arial" w:eastAsia="Arial" w:hAnsi="Arial"/>
          <w:sz w:val="24"/>
          <w:szCs w:val="24"/>
        </w:rPr>
        <w:t>monitoring arrangements which ensure performance is being achieved.</w:t>
      </w:r>
    </w:p>
    <w:p w:rsidR="008B3127" w:rsidRPr="000929EB" w:rsidRDefault="008B3127" w:rsidP="000929EB">
      <w:pPr>
        <w:spacing w:line="304" w:lineRule="exact"/>
        <w:jc w:val="both"/>
        <w:rPr>
          <w:rFonts w:ascii="Arial" w:eastAsia="Arial" w:hAnsi="Arial"/>
          <w:sz w:val="24"/>
          <w:szCs w:val="24"/>
        </w:rPr>
      </w:pPr>
    </w:p>
    <w:p w:rsidR="00256A9C" w:rsidRPr="000929EB" w:rsidRDefault="00256A9C" w:rsidP="000929EB">
      <w:pPr>
        <w:tabs>
          <w:tab w:val="left" w:pos="686"/>
        </w:tabs>
        <w:spacing w:line="0" w:lineRule="atLeast"/>
        <w:ind w:left="686"/>
        <w:jc w:val="both"/>
        <w:rPr>
          <w:rFonts w:ascii="Arial" w:eastAsia="Arial" w:hAnsi="Arial"/>
          <w:sz w:val="24"/>
          <w:szCs w:val="24"/>
        </w:rPr>
      </w:pPr>
    </w:p>
    <w:p w:rsidR="008B3127" w:rsidRPr="000929EB" w:rsidRDefault="008B3127" w:rsidP="000929EB">
      <w:pPr>
        <w:tabs>
          <w:tab w:val="left" w:pos="686"/>
        </w:tabs>
        <w:spacing w:line="0" w:lineRule="atLeast"/>
        <w:ind w:left="686"/>
        <w:jc w:val="both"/>
        <w:rPr>
          <w:rFonts w:ascii="Arial" w:eastAsia="Arial" w:hAnsi="Arial"/>
          <w:sz w:val="24"/>
          <w:szCs w:val="24"/>
        </w:rPr>
      </w:pPr>
      <w:r w:rsidRPr="000929EB">
        <w:rPr>
          <w:rFonts w:ascii="Arial" w:eastAsia="Arial" w:hAnsi="Arial"/>
          <w:sz w:val="24"/>
          <w:szCs w:val="24"/>
        </w:rPr>
        <w:t>In addition, all contracts should be:</w:t>
      </w:r>
    </w:p>
    <w:p w:rsidR="008B3127" w:rsidRPr="000929EB" w:rsidRDefault="008B3127" w:rsidP="000929EB">
      <w:pPr>
        <w:spacing w:line="182" w:lineRule="exact"/>
        <w:jc w:val="both"/>
        <w:rPr>
          <w:rFonts w:ascii="Arial" w:eastAsia="Arial" w:hAnsi="Arial"/>
          <w:sz w:val="24"/>
          <w:szCs w:val="24"/>
        </w:rPr>
      </w:pPr>
    </w:p>
    <w:p w:rsidR="00256A9C" w:rsidRPr="000929EB" w:rsidRDefault="008B3127" w:rsidP="000929EB">
      <w:pPr>
        <w:numPr>
          <w:ilvl w:val="1"/>
          <w:numId w:val="7"/>
        </w:numPr>
        <w:tabs>
          <w:tab w:val="left" w:pos="966"/>
        </w:tabs>
        <w:spacing w:line="0" w:lineRule="atLeast"/>
        <w:ind w:left="966" w:hanging="286"/>
        <w:jc w:val="both"/>
        <w:rPr>
          <w:rFonts w:ascii="Arial" w:eastAsia="Arial" w:hAnsi="Arial"/>
          <w:sz w:val="24"/>
          <w:szCs w:val="24"/>
        </w:rPr>
      </w:pPr>
      <w:r w:rsidRPr="000929EB">
        <w:rPr>
          <w:rFonts w:ascii="Arial" w:eastAsia="Arial" w:hAnsi="Arial"/>
          <w:sz w:val="24"/>
          <w:szCs w:val="24"/>
        </w:rPr>
        <w:t>clear, concise and written in plain English;</w:t>
      </w:r>
    </w:p>
    <w:p w:rsidR="00256A9C" w:rsidRPr="000929EB" w:rsidRDefault="008B3127" w:rsidP="000929EB">
      <w:pPr>
        <w:numPr>
          <w:ilvl w:val="1"/>
          <w:numId w:val="7"/>
        </w:numPr>
        <w:tabs>
          <w:tab w:val="left" w:pos="966"/>
        </w:tabs>
        <w:spacing w:line="0" w:lineRule="atLeast"/>
        <w:ind w:left="966" w:hanging="286"/>
        <w:jc w:val="both"/>
        <w:rPr>
          <w:rFonts w:ascii="Arial" w:eastAsia="Arial" w:hAnsi="Arial"/>
          <w:sz w:val="24"/>
          <w:szCs w:val="24"/>
        </w:rPr>
      </w:pPr>
      <w:r w:rsidRPr="000929EB">
        <w:rPr>
          <w:rFonts w:ascii="Arial" w:eastAsia="Arial" w:hAnsi="Arial"/>
          <w:sz w:val="24"/>
          <w:szCs w:val="24"/>
        </w:rPr>
        <w:t>complete and unambiguous – contracts should set out the obligations of the parties in a way that does not allow for differing interpretations of what is required;</w:t>
      </w:r>
    </w:p>
    <w:p w:rsidR="00256A9C" w:rsidRPr="000929EB" w:rsidRDefault="008B3127" w:rsidP="000929EB">
      <w:pPr>
        <w:numPr>
          <w:ilvl w:val="1"/>
          <w:numId w:val="7"/>
        </w:numPr>
        <w:tabs>
          <w:tab w:val="left" w:pos="966"/>
        </w:tabs>
        <w:spacing w:line="0" w:lineRule="atLeast"/>
        <w:ind w:left="966" w:hanging="286"/>
        <w:jc w:val="both"/>
        <w:rPr>
          <w:rFonts w:ascii="Arial" w:eastAsia="Arial" w:hAnsi="Arial"/>
          <w:sz w:val="24"/>
          <w:szCs w:val="24"/>
        </w:rPr>
      </w:pPr>
      <w:r w:rsidRPr="000929EB">
        <w:rPr>
          <w:rFonts w:ascii="Arial" w:eastAsia="Arial" w:hAnsi="Arial"/>
          <w:sz w:val="24"/>
          <w:szCs w:val="24"/>
        </w:rPr>
        <w:t>comprehensive and consistent – there should be no contradiction</w:t>
      </w:r>
      <w:r w:rsidR="00835CB7" w:rsidRPr="000929EB">
        <w:rPr>
          <w:rFonts w:ascii="Arial" w:eastAsia="Arial" w:hAnsi="Arial"/>
          <w:sz w:val="24"/>
          <w:szCs w:val="24"/>
        </w:rPr>
        <w:t xml:space="preserve"> of requirements or approach (an organisation </w:t>
      </w:r>
      <w:r w:rsidRPr="000929EB">
        <w:rPr>
          <w:rFonts w:ascii="Arial" w:eastAsia="Arial" w:hAnsi="Arial"/>
          <w:sz w:val="24"/>
          <w:szCs w:val="24"/>
        </w:rPr>
        <w:t>should ensure that all the documents which comprise the contract support the achievement of the required outcomes);</w:t>
      </w:r>
    </w:p>
    <w:p w:rsidR="00256A9C" w:rsidRPr="000929EB" w:rsidRDefault="008B3127" w:rsidP="000929EB">
      <w:pPr>
        <w:numPr>
          <w:ilvl w:val="1"/>
          <w:numId w:val="7"/>
        </w:numPr>
        <w:tabs>
          <w:tab w:val="left" w:pos="966"/>
        </w:tabs>
        <w:spacing w:line="0" w:lineRule="atLeast"/>
        <w:ind w:left="966" w:hanging="286"/>
        <w:jc w:val="both"/>
        <w:rPr>
          <w:rFonts w:ascii="Arial" w:eastAsia="Arial" w:hAnsi="Arial"/>
          <w:sz w:val="24"/>
          <w:szCs w:val="24"/>
        </w:rPr>
      </w:pPr>
      <w:r w:rsidRPr="000929EB">
        <w:rPr>
          <w:rFonts w:ascii="Arial" w:eastAsia="Arial" w:hAnsi="Arial"/>
          <w:sz w:val="24"/>
          <w:szCs w:val="24"/>
        </w:rPr>
        <w:t>flexible – contract conditions should be adjusted to take account of provider requirements for example, frequency of payment to smaller providers to maintain cash flow (but care must be exercised if conditions are amended after a competition as this would have the effect of distorting that competition);</w:t>
      </w:r>
    </w:p>
    <w:p w:rsidR="00256A9C" w:rsidRPr="000929EB" w:rsidRDefault="008B3127" w:rsidP="000929EB">
      <w:pPr>
        <w:numPr>
          <w:ilvl w:val="1"/>
          <w:numId w:val="7"/>
        </w:numPr>
        <w:tabs>
          <w:tab w:val="left" w:pos="966"/>
        </w:tabs>
        <w:spacing w:line="0" w:lineRule="atLeast"/>
        <w:ind w:left="966" w:hanging="286"/>
        <w:jc w:val="both"/>
        <w:rPr>
          <w:rFonts w:ascii="Arial" w:eastAsia="Arial" w:hAnsi="Arial"/>
          <w:sz w:val="24"/>
          <w:szCs w:val="24"/>
        </w:rPr>
      </w:pPr>
      <w:r w:rsidRPr="000929EB">
        <w:rPr>
          <w:rFonts w:ascii="Arial" w:eastAsia="Arial" w:hAnsi="Arial"/>
          <w:sz w:val="24"/>
          <w:szCs w:val="24"/>
        </w:rPr>
        <w:t>detail shared risk – contracts should seek to reduce both the impact and the likelihood of risk within acceptable levels and to define what each party must do to make this possible; and</w:t>
      </w:r>
    </w:p>
    <w:p w:rsidR="008B3127" w:rsidRPr="000929EB" w:rsidRDefault="008B3127" w:rsidP="000929EB">
      <w:pPr>
        <w:numPr>
          <w:ilvl w:val="1"/>
          <w:numId w:val="7"/>
        </w:numPr>
        <w:tabs>
          <w:tab w:val="left" w:pos="966"/>
        </w:tabs>
        <w:spacing w:line="0" w:lineRule="atLeast"/>
        <w:ind w:left="966" w:hanging="286"/>
        <w:jc w:val="both"/>
        <w:rPr>
          <w:rFonts w:ascii="Arial" w:eastAsia="Arial" w:hAnsi="Arial"/>
          <w:sz w:val="24"/>
          <w:szCs w:val="24"/>
        </w:rPr>
      </w:pPr>
      <w:r w:rsidRPr="000929EB">
        <w:rPr>
          <w:rFonts w:ascii="Arial" w:eastAsia="Arial" w:hAnsi="Arial"/>
          <w:sz w:val="24"/>
          <w:szCs w:val="24"/>
        </w:rPr>
        <w:t>contain appropriate equalities and human rights clauses.</w:t>
      </w:r>
    </w:p>
    <w:p w:rsidR="008B3127" w:rsidRPr="000929EB" w:rsidRDefault="008B3127" w:rsidP="000929EB">
      <w:pPr>
        <w:spacing w:line="184" w:lineRule="exact"/>
        <w:jc w:val="both"/>
        <w:rPr>
          <w:rFonts w:ascii="Arial" w:eastAsia="Arial" w:hAnsi="Arial"/>
          <w:sz w:val="24"/>
          <w:szCs w:val="24"/>
        </w:rPr>
      </w:pPr>
    </w:p>
    <w:p w:rsidR="00256A9C" w:rsidRPr="000929EB" w:rsidRDefault="008B3127" w:rsidP="000929EB">
      <w:pPr>
        <w:tabs>
          <w:tab w:val="left" w:pos="686"/>
        </w:tabs>
        <w:spacing w:line="275" w:lineRule="auto"/>
        <w:ind w:left="686" w:right="420"/>
        <w:jc w:val="both"/>
        <w:rPr>
          <w:rFonts w:ascii="Arial" w:eastAsia="Arial" w:hAnsi="Arial"/>
          <w:sz w:val="24"/>
          <w:szCs w:val="24"/>
        </w:rPr>
      </w:pPr>
      <w:r w:rsidRPr="000929EB">
        <w:rPr>
          <w:rFonts w:ascii="Arial" w:eastAsia="Arial" w:hAnsi="Arial"/>
          <w:sz w:val="24"/>
          <w:szCs w:val="24"/>
        </w:rPr>
        <w:t>Contracts should also make appropriate provision for dealing with poor performance.</w:t>
      </w:r>
    </w:p>
    <w:p w:rsidR="008B3127" w:rsidRPr="000929EB" w:rsidRDefault="008B3127" w:rsidP="000929EB">
      <w:pPr>
        <w:tabs>
          <w:tab w:val="left" w:pos="686"/>
        </w:tabs>
        <w:spacing w:line="275" w:lineRule="auto"/>
        <w:ind w:left="686" w:right="420"/>
        <w:jc w:val="both"/>
        <w:rPr>
          <w:rFonts w:ascii="Arial" w:eastAsia="Arial" w:hAnsi="Arial"/>
          <w:sz w:val="24"/>
          <w:szCs w:val="24"/>
        </w:rPr>
      </w:pPr>
      <w:r w:rsidRPr="000929EB">
        <w:rPr>
          <w:rFonts w:ascii="Arial" w:eastAsia="Arial" w:hAnsi="Arial"/>
          <w:noProof/>
          <w:color w:val="333333"/>
          <w:sz w:val="24"/>
          <w:szCs w:val="24"/>
        </w:rPr>
        <mc:AlternateContent>
          <mc:Choice Requires="wps">
            <w:drawing>
              <wp:anchor distT="0" distB="0" distL="114300" distR="114300" simplePos="0" relativeHeight="251639808" behindDoc="1" locked="0" layoutInCell="0" allowOverlap="1" wp14:anchorId="13CAA9E6" wp14:editId="60E48E75">
                <wp:simplePos x="0" y="0"/>
                <wp:positionH relativeFrom="column">
                  <wp:posOffset>0</wp:posOffset>
                </wp:positionH>
                <wp:positionV relativeFrom="paragraph">
                  <wp:posOffset>315595</wp:posOffset>
                </wp:positionV>
                <wp:extent cx="6119495" cy="0"/>
                <wp:effectExtent l="5715" t="8255" r="8890" b="107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94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A7CBD" id="Straight Connector 1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85pt" to="481.85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Zn0HQ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" o:allowincell="f" strokeweight=".5pt"/>
            </w:pict>
          </mc:Fallback>
        </mc:AlternateContent>
      </w:r>
      <w:r w:rsidRPr="000929EB">
        <w:rPr>
          <w:rFonts w:ascii="Arial" w:eastAsia="Arial" w:hAnsi="Arial"/>
          <w:noProof/>
          <w:color w:val="333333"/>
          <w:sz w:val="24"/>
          <w:szCs w:val="24"/>
        </w:rPr>
        <mc:AlternateContent>
          <mc:Choice Requires="wps">
            <w:drawing>
              <wp:anchor distT="0" distB="0" distL="114300" distR="114300" simplePos="0" relativeHeight="251642880" behindDoc="1" locked="0" layoutInCell="0" allowOverlap="1" wp14:anchorId="3B39F74B" wp14:editId="39D0DB74">
                <wp:simplePos x="0" y="0"/>
                <wp:positionH relativeFrom="column">
                  <wp:posOffset>3175</wp:posOffset>
                </wp:positionH>
                <wp:positionV relativeFrom="paragraph">
                  <wp:posOffset>312420</wp:posOffset>
                </wp:positionV>
                <wp:extent cx="0" cy="3211195"/>
                <wp:effectExtent l="8890" t="5080" r="10160" b="127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119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64840F" id="Straight Connector 1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4.6pt" to=".25pt,27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" o:allowincell="f" strokeweight=".5pt"/>
            </w:pict>
          </mc:Fallback>
        </mc:AlternateContent>
      </w:r>
      <w:r w:rsidRPr="000929EB">
        <w:rPr>
          <w:rFonts w:ascii="Arial" w:eastAsia="Arial" w:hAnsi="Arial"/>
          <w:noProof/>
          <w:color w:val="333333"/>
          <w:sz w:val="24"/>
          <w:szCs w:val="24"/>
        </w:rPr>
        <mc:AlternateContent>
          <mc:Choice Requires="wps">
            <w:drawing>
              <wp:anchor distT="0" distB="0" distL="114300" distR="114300" simplePos="0" relativeHeight="251645952" behindDoc="1" locked="0" layoutInCell="0" allowOverlap="1" wp14:anchorId="1C7FB780" wp14:editId="6AAF727A">
                <wp:simplePos x="0" y="0"/>
                <wp:positionH relativeFrom="column">
                  <wp:posOffset>6116320</wp:posOffset>
                </wp:positionH>
                <wp:positionV relativeFrom="paragraph">
                  <wp:posOffset>312420</wp:posOffset>
                </wp:positionV>
                <wp:extent cx="0" cy="3211195"/>
                <wp:effectExtent l="6985" t="5080" r="12065" b="127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119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2E7D2" id="Straight Connector 10"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6pt,24.6pt" to="481.6pt,27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" o:allowincell="f" strokeweight=".5pt"/>
            </w:pict>
          </mc:Fallback>
        </mc:AlternateContent>
      </w:r>
    </w:p>
    <w:p w:rsidR="008B3127" w:rsidRPr="000929EB" w:rsidRDefault="008B3127" w:rsidP="000929EB">
      <w:pPr>
        <w:spacing w:line="217" w:lineRule="exact"/>
        <w:jc w:val="both"/>
        <w:rPr>
          <w:rFonts w:ascii="Arial" w:eastAsia="Times New Roman" w:hAnsi="Arial"/>
          <w:sz w:val="24"/>
          <w:szCs w:val="24"/>
        </w:rPr>
      </w:pPr>
    </w:p>
    <w:p w:rsidR="008B3127" w:rsidRPr="000929EB" w:rsidRDefault="008B3127" w:rsidP="000929EB">
      <w:pPr>
        <w:spacing w:line="0" w:lineRule="atLeast"/>
        <w:ind w:left="166"/>
        <w:jc w:val="both"/>
        <w:rPr>
          <w:rFonts w:ascii="Arial" w:eastAsia="Arial" w:hAnsi="Arial"/>
          <w:b/>
          <w:sz w:val="24"/>
          <w:szCs w:val="24"/>
        </w:rPr>
      </w:pPr>
      <w:r w:rsidRPr="000929EB">
        <w:rPr>
          <w:rFonts w:ascii="Arial" w:eastAsia="Arial" w:hAnsi="Arial"/>
          <w:b/>
          <w:sz w:val="24"/>
          <w:szCs w:val="24"/>
        </w:rPr>
        <w:t>Contract duration</w:t>
      </w:r>
    </w:p>
    <w:p w:rsidR="008B3127" w:rsidRPr="000929EB" w:rsidRDefault="008B3127" w:rsidP="000929EB">
      <w:pPr>
        <w:spacing w:line="184" w:lineRule="exact"/>
        <w:jc w:val="both"/>
        <w:rPr>
          <w:rFonts w:ascii="Arial" w:eastAsia="Times New Roman" w:hAnsi="Arial"/>
          <w:sz w:val="24"/>
          <w:szCs w:val="24"/>
        </w:rPr>
      </w:pPr>
    </w:p>
    <w:p w:rsidR="008B3127" w:rsidRPr="000929EB" w:rsidRDefault="008B3127" w:rsidP="000929EB">
      <w:pPr>
        <w:spacing w:line="256" w:lineRule="auto"/>
        <w:ind w:left="166" w:right="160"/>
        <w:jc w:val="both"/>
        <w:rPr>
          <w:rFonts w:ascii="Arial" w:eastAsia="Arial" w:hAnsi="Arial"/>
          <w:sz w:val="24"/>
          <w:szCs w:val="24"/>
        </w:rPr>
      </w:pPr>
      <w:r w:rsidRPr="000929EB">
        <w:rPr>
          <w:rFonts w:ascii="Arial" w:eastAsia="Arial" w:hAnsi="Arial"/>
          <w:sz w:val="24"/>
          <w:szCs w:val="24"/>
        </w:rPr>
        <w:t xml:space="preserve">Unlike framework agreements there are no explicit limits in public procurement law on the duration of a contract, although excessively long contracts may be open to challenge on the grounds that they are designed to distort markets/competition. Contract duration should be determined on a case-by-case basis, taking into account the </w:t>
      </w:r>
      <w:r w:rsidR="00835CB7" w:rsidRPr="000929EB">
        <w:rPr>
          <w:rFonts w:ascii="Arial" w:eastAsia="Arial" w:hAnsi="Arial"/>
          <w:sz w:val="24"/>
          <w:szCs w:val="24"/>
        </w:rPr>
        <w:t>organisation</w:t>
      </w:r>
      <w:r w:rsidRPr="000929EB">
        <w:rPr>
          <w:rFonts w:ascii="Arial" w:eastAsia="Arial" w:hAnsi="Arial"/>
          <w:sz w:val="24"/>
          <w:szCs w:val="24"/>
        </w:rPr>
        <w:t>’s requirements and the needs of the people who use the services; contracts should be subject to a review of service delivery at appropriate intervals.</w:t>
      </w:r>
    </w:p>
    <w:p w:rsidR="008B3127" w:rsidRPr="000929EB" w:rsidRDefault="008B3127" w:rsidP="000929EB">
      <w:pPr>
        <w:spacing w:line="200" w:lineRule="exact"/>
        <w:jc w:val="both"/>
        <w:rPr>
          <w:rFonts w:ascii="Arial" w:eastAsia="Times New Roman" w:hAnsi="Arial"/>
          <w:sz w:val="24"/>
          <w:szCs w:val="24"/>
        </w:rPr>
      </w:pPr>
    </w:p>
    <w:p w:rsidR="008B3127" w:rsidRPr="000929EB" w:rsidRDefault="008B3127" w:rsidP="000929EB">
      <w:pPr>
        <w:spacing w:line="354" w:lineRule="exact"/>
        <w:jc w:val="both"/>
        <w:rPr>
          <w:rFonts w:ascii="Arial" w:eastAsia="Times New Roman" w:hAnsi="Arial"/>
          <w:sz w:val="24"/>
          <w:szCs w:val="24"/>
        </w:rPr>
      </w:pPr>
    </w:p>
    <w:p w:rsidR="008B3127" w:rsidRPr="000929EB" w:rsidRDefault="00835CB7" w:rsidP="000929EB">
      <w:pPr>
        <w:spacing w:line="256" w:lineRule="auto"/>
        <w:ind w:left="166" w:right="640"/>
        <w:jc w:val="both"/>
        <w:rPr>
          <w:rFonts w:ascii="Arial" w:eastAsia="Arial" w:hAnsi="Arial"/>
          <w:sz w:val="24"/>
          <w:szCs w:val="24"/>
        </w:rPr>
      </w:pPr>
      <w:r w:rsidRPr="000929EB">
        <w:rPr>
          <w:rFonts w:ascii="Arial" w:eastAsia="Arial" w:hAnsi="Arial"/>
          <w:sz w:val="24"/>
          <w:szCs w:val="24"/>
        </w:rPr>
        <w:t>An organisation</w:t>
      </w:r>
      <w:r w:rsidR="008B3127" w:rsidRPr="000929EB">
        <w:rPr>
          <w:rFonts w:ascii="Arial" w:eastAsia="Arial" w:hAnsi="Arial"/>
          <w:sz w:val="24"/>
          <w:szCs w:val="24"/>
        </w:rPr>
        <w:t xml:space="preserve"> may decide to award contracts of longer duration, where necessary, to ensure continuity of service for people who use the services. It is possible to frame contracts in a way which would allow the service provider to continue to provide a service to a person who uses the service for an extended period. For example, it may be appropriate to specify that the service provider should (subject to satisfactory </w:t>
      </w:r>
      <w:r w:rsidR="008B3127" w:rsidRPr="000929EB">
        <w:rPr>
          <w:rFonts w:ascii="Arial" w:eastAsia="Arial" w:hAnsi="Arial"/>
          <w:sz w:val="24"/>
          <w:szCs w:val="24"/>
        </w:rPr>
        <w:lastRenderedPageBreak/>
        <w:t>performance) provide continuous support for that individual for as long as support is required.</w:t>
      </w:r>
    </w:p>
    <w:p w:rsidR="008B3127" w:rsidRPr="000929EB" w:rsidRDefault="008B3127" w:rsidP="000929EB">
      <w:pPr>
        <w:spacing w:line="354" w:lineRule="exact"/>
        <w:jc w:val="both"/>
        <w:rPr>
          <w:rFonts w:ascii="Arial" w:eastAsia="Times New Roman" w:hAnsi="Arial"/>
          <w:sz w:val="24"/>
          <w:szCs w:val="24"/>
        </w:rPr>
      </w:pPr>
      <w:r w:rsidRPr="000929EB">
        <w:rPr>
          <w:rFonts w:ascii="Arial" w:eastAsia="Arial" w:hAnsi="Arial"/>
          <w:noProof/>
          <w:sz w:val="24"/>
          <w:szCs w:val="24"/>
        </w:rPr>
        <mc:AlternateContent>
          <mc:Choice Requires="wps">
            <w:drawing>
              <wp:anchor distT="0" distB="0" distL="114300" distR="114300" simplePos="0" relativeHeight="251649024" behindDoc="1" locked="0" layoutInCell="0" allowOverlap="1" wp14:anchorId="67C7AF60" wp14:editId="729FD5C8">
                <wp:simplePos x="0" y="0"/>
                <wp:positionH relativeFrom="column">
                  <wp:posOffset>0</wp:posOffset>
                </wp:positionH>
                <wp:positionV relativeFrom="paragraph">
                  <wp:posOffset>54610</wp:posOffset>
                </wp:positionV>
                <wp:extent cx="6119495" cy="0"/>
                <wp:effectExtent l="5715" t="12700" r="8890" b="63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94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2A2319" id="Straight Connector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pt" to="481.8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id0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" o:allowincell="f" strokeweight=".5pt"/>
            </w:pict>
          </mc:Fallback>
        </mc:AlternateContent>
      </w:r>
    </w:p>
    <w:p w:rsidR="008B3127" w:rsidRPr="000929EB" w:rsidRDefault="008B3127" w:rsidP="000929EB">
      <w:pPr>
        <w:tabs>
          <w:tab w:val="left" w:pos="686"/>
        </w:tabs>
        <w:spacing w:line="252" w:lineRule="auto"/>
        <w:ind w:left="686" w:right="20"/>
        <w:jc w:val="both"/>
        <w:rPr>
          <w:rFonts w:ascii="Arial" w:eastAsia="Arial" w:hAnsi="Arial"/>
          <w:sz w:val="24"/>
          <w:szCs w:val="24"/>
        </w:rPr>
      </w:pPr>
      <w:r w:rsidRPr="000929EB">
        <w:rPr>
          <w:rFonts w:ascii="Arial" w:eastAsia="Arial" w:hAnsi="Arial"/>
          <w:sz w:val="24"/>
          <w:szCs w:val="24"/>
        </w:rPr>
        <w:t>Decisions about contract duration should also include consideration of the importance of having a skilled, engaged and stable workforce in social care. Frequent re-tendering may have adverse implications for staff morale and conditions of service and can lead to the loss of highly motivated staff. Local authorities may, where appropriate, take a three-year (or longer) approach to funding, offering service providers the necessary stability</w:t>
      </w:r>
    </w:p>
    <w:p w:rsidR="008B3127" w:rsidRPr="000929EB" w:rsidRDefault="008B3127" w:rsidP="000929EB">
      <w:pPr>
        <w:spacing w:line="1" w:lineRule="exact"/>
        <w:jc w:val="both"/>
        <w:rPr>
          <w:rFonts w:ascii="Arial" w:eastAsia="Arial" w:hAnsi="Arial"/>
          <w:sz w:val="24"/>
          <w:szCs w:val="24"/>
        </w:rPr>
      </w:pPr>
    </w:p>
    <w:p w:rsidR="008B3127" w:rsidRPr="000929EB" w:rsidRDefault="008B3127" w:rsidP="000929EB">
      <w:pPr>
        <w:spacing w:line="259" w:lineRule="auto"/>
        <w:ind w:left="686" w:right="60"/>
        <w:jc w:val="both"/>
        <w:rPr>
          <w:rFonts w:ascii="Arial" w:eastAsia="Arial" w:hAnsi="Arial"/>
          <w:sz w:val="24"/>
          <w:szCs w:val="24"/>
        </w:rPr>
      </w:pPr>
      <w:r w:rsidRPr="000929EB">
        <w:rPr>
          <w:rFonts w:ascii="Arial" w:eastAsia="Arial" w:hAnsi="Arial"/>
          <w:sz w:val="24"/>
          <w:szCs w:val="24"/>
        </w:rPr>
        <w:t>to retain and train their staff and to plan for service development. It is, however, recognised that short-term funding may be appropriate in certain circumstances in order to encourage innovation in service delivery and respond to the changing needs of local communities.</w:t>
      </w:r>
    </w:p>
    <w:p w:rsidR="008B3127" w:rsidRPr="000929EB" w:rsidRDefault="008B3127" w:rsidP="000929EB">
      <w:pPr>
        <w:spacing w:line="258" w:lineRule="exact"/>
        <w:jc w:val="both"/>
        <w:rPr>
          <w:rFonts w:ascii="Arial" w:eastAsia="Arial" w:hAnsi="Arial"/>
          <w:sz w:val="24"/>
          <w:szCs w:val="24"/>
        </w:rPr>
      </w:pPr>
    </w:p>
    <w:p w:rsidR="008B3127" w:rsidRPr="000929EB" w:rsidRDefault="008B3127" w:rsidP="000929EB">
      <w:pPr>
        <w:tabs>
          <w:tab w:val="left" w:pos="686"/>
        </w:tabs>
        <w:spacing w:line="256" w:lineRule="auto"/>
        <w:ind w:left="686" w:right="220"/>
        <w:jc w:val="both"/>
        <w:rPr>
          <w:rFonts w:ascii="Arial" w:eastAsia="Arial" w:hAnsi="Arial"/>
          <w:sz w:val="24"/>
          <w:szCs w:val="24"/>
        </w:rPr>
      </w:pPr>
      <w:r w:rsidRPr="000929EB">
        <w:rPr>
          <w:rFonts w:ascii="Arial" w:eastAsia="Arial" w:hAnsi="Arial"/>
          <w:sz w:val="24"/>
          <w:szCs w:val="24"/>
        </w:rPr>
        <w:t>It is also possible to provide that a contract will (subject to satisfactory performance) be extended by a certain period of years. Any option to extend the contract must be made clear at the o</w:t>
      </w:r>
      <w:r w:rsidR="00835CB7" w:rsidRPr="000929EB">
        <w:rPr>
          <w:rFonts w:ascii="Arial" w:eastAsia="Arial" w:hAnsi="Arial"/>
          <w:sz w:val="24"/>
          <w:szCs w:val="24"/>
        </w:rPr>
        <w:t>utset in the contract notice. An organisation</w:t>
      </w:r>
      <w:r w:rsidRPr="000929EB">
        <w:rPr>
          <w:rFonts w:ascii="Arial" w:eastAsia="Arial" w:hAnsi="Arial"/>
          <w:sz w:val="24"/>
          <w:szCs w:val="24"/>
        </w:rPr>
        <w:t xml:space="preserve"> should consider whether the circumstances make it appropriate to award a contract of longer duration (rather than providing an extension option), thereby offering itself and service providers greater certainty.</w:t>
      </w:r>
    </w:p>
    <w:p w:rsidR="008B3127" w:rsidRPr="000929EB" w:rsidRDefault="008B3127" w:rsidP="000929EB">
      <w:pPr>
        <w:spacing w:line="200" w:lineRule="exact"/>
        <w:jc w:val="both"/>
        <w:rPr>
          <w:rFonts w:ascii="Arial" w:eastAsia="Arial" w:hAnsi="Arial"/>
          <w:sz w:val="24"/>
          <w:szCs w:val="24"/>
        </w:rPr>
      </w:pPr>
    </w:p>
    <w:p w:rsidR="008B3127" w:rsidRPr="000929EB" w:rsidRDefault="008B3127" w:rsidP="000929EB">
      <w:pPr>
        <w:spacing w:line="353" w:lineRule="exact"/>
        <w:jc w:val="both"/>
        <w:rPr>
          <w:rFonts w:ascii="Arial" w:eastAsia="Arial" w:hAnsi="Arial"/>
          <w:sz w:val="24"/>
          <w:szCs w:val="24"/>
        </w:rPr>
      </w:pPr>
    </w:p>
    <w:p w:rsidR="008B3127" w:rsidRPr="000929EB" w:rsidRDefault="008B3127" w:rsidP="000929EB">
      <w:pPr>
        <w:tabs>
          <w:tab w:val="left" w:pos="686"/>
        </w:tabs>
        <w:spacing w:line="256" w:lineRule="auto"/>
        <w:ind w:left="686"/>
        <w:jc w:val="both"/>
        <w:rPr>
          <w:rFonts w:ascii="Arial" w:eastAsia="Arial" w:hAnsi="Arial"/>
          <w:sz w:val="24"/>
          <w:szCs w:val="24"/>
        </w:rPr>
      </w:pPr>
      <w:r w:rsidRPr="000929EB">
        <w:rPr>
          <w:rFonts w:ascii="Arial" w:eastAsia="Arial" w:hAnsi="Arial"/>
          <w:sz w:val="24"/>
          <w:szCs w:val="24"/>
        </w:rPr>
        <w:t>It might be appropriate to include price adjustment clauses in service contracts of longer duration, for example over two years. Price adjustments clauses determine the parameters for adjusting price (upwards or downwards) during the term of the contract</w:t>
      </w:r>
      <w:r w:rsidR="00835CB7" w:rsidRPr="000929EB">
        <w:rPr>
          <w:rFonts w:ascii="Arial" w:eastAsia="Arial" w:hAnsi="Arial"/>
          <w:sz w:val="24"/>
          <w:szCs w:val="24"/>
        </w:rPr>
        <w:t>. The inclusion by an organisation</w:t>
      </w:r>
      <w:r w:rsidRPr="000929EB">
        <w:rPr>
          <w:rFonts w:ascii="Arial" w:eastAsia="Arial" w:hAnsi="Arial"/>
          <w:sz w:val="24"/>
          <w:szCs w:val="24"/>
        </w:rPr>
        <w:t xml:space="preserve"> of ‘no-fault’ termination, or break, clauses and successor body clauses in contracts of longer duration can provide flexibility in the even</w:t>
      </w:r>
      <w:r w:rsidR="00835CB7" w:rsidRPr="000929EB">
        <w:rPr>
          <w:rFonts w:ascii="Arial" w:eastAsia="Arial" w:hAnsi="Arial"/>
          <w:sz w:val="24"/>
          <w:szCs w:val="24"/>
        </w:rPr>
        <w:t>t of a change in the organisation</w:t>
      </w:r>
      <w:r w:rsidRPr="000929EB">
        <w:rPr>
          <w:rFonts w:ascii="Arial" w:eastAsia="Arial" w:hAnsi="Arial"/>
          <w:sz w:val="24"/>
          <w:szCs w:val="24"/>
        </w:rPr>
        <w:t>’s requirements.</w:t>
      </w:r>
    </w:p>
    <w:p w:rsidR="008B3127" w:rsidRPr="000929EB" w:rsidRDefault="008B3127" w:rsidP="000929EB">
      <w:pPr>
        <w:spacing w:line="200" w:lineRule="exact"/>
        <w:jc w:val="both"/>
        <w:rPr>
          <w:rFonts w:ascii="Arial" w:eastAsia="Times New Roman" w:hAnsi="Arial"/>
          <w:sz w:val="24"/>
          <w:szCs w:val="24"/>
        </w:rPr>
      </w:pPr>
    </w:p>
    <w:p w:rsidR="008B3127" w:rsidRPr="000929EB" w:rsidRDefault="008B3127" w:rsidP="000929EB">
      <w:pPr>
        <w:spacing w:line="242" w:lineRule="exact"/>
        <w:jc w:val="both"/>
        <w:rPr>
          <w:rFonts w:ascii="Arial" w:eastAsia="Times New Roman" w:hAnsi="Arial"/>
          <w:sz w:val="24"/>
          <w:szCs w:val="24"/>
        </w:rPr>
      </w:pPr>
    </w:p>
    <w:p w:rsidR="008B3127" w:rsidRPr="000929EB" w:rsidRDefault="008B3127" w:rsidP="000929EB">
      <w:pPr>
        <w:spacing w:line="0" w:lineRule="atLeast"/>
        <w:ind w:left="6"/>
        <w:jc w:val="both"/>
        <w:rPr>
          <w:rFonts w:ascii="Arial" w:eastAsia="Arial" w:hAnsi="Arial"/>
          <w:b/>
          <w:sz w:val="24"/>
          <w:szCs w:val="24"/>
        </w:rPr>
      </w:pPr>
      <w:r w:rsidRPr="000929EB">
        <w:rPr>
          <w:rFonts w:ascii="Arial" w:eastAsia="Arial" w:hAnsi="Arial"/>
          <w:b/>
          <w:sz w:val="24"/>
          <w:szCs w:val="24"/>
        </w:rPr>
        <w:t>Clauses relating to transitional arrangements</w:t>
      </w:r>
    </w:p>
    <w:p w:rsidR="008B3127" w:rsidRPr="000929EB" w:rsidRDefault="008B3127" w:rsidP="000929EB">
      <w:pPr>
        <w:spacing w:line="336" w:lineRule="exact"/>
        <w:jc w:val="both"/>
        <w:rPr>
          <w:rFonts w:ascii="Arial" w:eastAsia="Times New Roman" w:hAnsi="Arial"/>
          <w:sz w:val="24"/>
          <w:szCs w:val="24"/>
        </w:rPr>
      </w:pPr>
      <w:r w:rsidRPr="000929EB">
        <w:rPr>
          <w:rFonts w:ascii="Arial" w:eastAsia="Arial" w:hAnsi="Arial"/>
          <w:b/>
          <w:noProof/>
          <w:sz w:val="24"/>
          <w:szCs w:val="24"/>
        </w:rPr>
        <mc:AlternateContent>
          <mc:Choice Requires="wps">
            <w:drawing>
              <wp:anchor distT="0" distB="0" distL="114300" distR="114300" simplePos="0" relativeHeight="251652096" behindDoc="1" locked="0" layoutInCell="0" allowOverlap="1" wp14:anchorId="78D946AC" wp14:editId="42793FC7">
                <wp:simplePos x="0" y="0"/>
                <wp:positionH relativeFrom="column">
                  <wp:posOffset>0</wp:posOffset>
                </wp:positionH>
                <wp:positionV relativeFrom="paragraph">
                  <wp:posOffset>136525</wp:posOffset>
                </wp:positionV>
                <wp:extent cx="6119495" cy="0"/>
                <wp:effectExtent l="5715" t="8890" r="8890" b="1016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94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68C02" id="Straight Connector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75pt" to="481.8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r1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" o:allowincell="f" strokeweight=".5pt"/>
            </w:pict>
          </mc:Fallback>
        </mc:AlternateContent>
      </w:r>
      <w:r w:rsidRPr="000929EB">
        <w:rPr>
          <w:rFonts w:ascii="Arial" w:eastAsia="Arial" w:hAnsi="Arial"/>
          <w:b/>
          <w:noProof/>
          <w:sz w:val="24"/>
          <w:szCs w:val="24"/>
        </w:rPr>
        <mc:AlternateContent>
          <mc:Choice Requires="wps">
            <w:drawing>
              <wp:anchor distT="0" distB="0" distL="114300" distR="114300" simplePos="0" relativeHeight="251655168" behindDoc="1" locked="0" layoutInCell="0" allowOverlap="1" wp14:anchorId="4090828B" wp14:editId="02ECF2C1">
                <wp:simplePos x="0" y="0"/>
                <wp:positionH relativeFrom="column">
                  <wp:posOffset>3175</wp:posOffset>
                </wp:positionH>
                <wp:positionV relativeFrom="paragraph">
                  <wp:posOffset>133350</wp:posOffset>
                </wp:positionV>
                <wp:extent cx="0" cy="1052195"/>
                <wp:effectExtent l="8890" t="5715" r="10160" b="889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5219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D6F5B"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0.5pt" to=".25pt,9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" o:allowincell="f" strokeweight=".5pt"/>
            </w:pict>
          </mc:Fallback>
        </mc:AlternateContent>
      </w:r>
      <w:r w:rsidRPr="000929EB">
        <w:rPr>
          <w:rFonts w:ascii="Arial" w:eastAsia="Arial" w:hAnsi="Arial"/>
          <w:b/>
          <w:noProof/>
          <w:sz w:val="24"/>
          <w:szCs w:val="24"/>
        </w:rPr>
        <mc:AlternateContent>
          <mc:Choice Requires="wps">
            <w:drawing>
              <wp:anchor distT="0" distB="0" distL="114300" distR="114300" simplePos="0" relativeHeight="251658240" behindDoc="1" locked="0" layoutInCell="0" allowOverlap="1" wp14:anchorId="57298AF0" wp14:editId="6FC3F533">
                <wp:simplePos x="0" y="0"/>
                <wp:positionH relativeFrom="column">
                  <wp:posOffset>6116320</wp:posOffset>
                </wp:positionH>
                <wp:positionV relativeFrom="paragraph">
                  <wp:posOffset>133350</wp:posOffset>
                </wp:positionV>
                <wp:extent cx="0" cy="1052195"/>
                <wp:effectExtent l="6985" t="5715" r="12065" b="889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5219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902DF" id="Straight Connector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6pt,10.5pt" to="481.6pt,9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" o:allowincell="f" strokeweight=".5pt"/>
            </w:pict>
          </mc:Fallback>
        </mc:AlternateContent>
      </w:r>
    </w:p>
    <w:p w:rsidR="008B3127" w:rsidRPr="000929EB" w:rsidRDefault="007758CA" w:rsidP="000929EB">
      <w:pPr>
        <w:spacing w:line="249" w:lineRule="auto"/>
        <w:ind w:left="166" w:right="160"/>
        <w:jc w:val="both"/>
        <w:rPr>
          <w:rFonts w:ascii="Arial" w:eastAsia="Arial" w:hAnsi="Arial"/>
          <w:sz w:val="24"/>
          <w:szCs w:val="24"/>
        </w:rPr>
      </w:pPr>
      <w:r w:rsidRPr="000929EB">
        <w:rPr>
          <w:rFonts w:ascii="Arial" w:eastAsia="Arial" w:hAnsi="Arial"/>
          <w:sz w:val="24"/>
          <w:szCs w:val="24"/>
        </w:rPr>
        <w:t>An organisation</w:t>
      </w:r>
      <w:r w:rsidR="008B3127" w:rsidRPr="000929EB">
        <w:rPr>
          <w:rFonts w:ascii="Arial" w:eastAsia="Arial" w:hAnsi="Arial"/>
          <w:sz w:val="24"/>
          <w:szCs w:val="24"/>
        </w:rPr>
        <w:t xml:space="preserve"> should include clauses which specify the arrangements that will apply in the event that a service is transferred to a different service provider, including lead-in, exit and handover clauses. For example, consideration should be given to identifying the requirements on the incumbent service provider to transfer information such as care plans to the new provider.</w:t>
      </w:r>
    </w:p>
    <w:p w:rsidR="008B3127" w:rsidRPr="000929EB" w:rsidRDefault="008B3127" w:rsidP="000929EB">
      <w:pPr>
        <w:spacing w:line="244" w:lineRule="exact"/>
        <w:jc w:val="both"/>
        <w:rPr>
          <w:rFonts w:ascii="Arial" w:eastAsia="Times New Roman" w:hAnsi="Arial"/>
          <w:sz w:val="24"/>
          <w:szCs w:val="24"/>
        </w:rPr>
      </w:pPr>
      <w:r w:rsidRPr="000929EB">
        <w:rPr>
          <w:rFonts w:ascii="Arial" w:eastAsia="Arial" w:hAnsi="Arial"/>
          <w:noProof/>
          <w:sz w:val="24"/>
          <w:szCs w:val="24"/>
        </w:rPr>
        <mc:AlternateContent>
          <mc:Choice Requires="wps">
            <w:drawing>
              <wp:anchor distT="0" distB="0" distL="114300" distR="114300" simplePos="0" relativeHeight="251661312" behindDoc="1" locked="0" layoutInCell="0" allowOverlap="1" wp14:anchorId="4BA29878" wp14:editId="37BFFFA6">
                <wp:simplePos x="0" y="0"/>
                <wp:positionH relativeFrom="column">
                  <wp:posOffset>0</wp:posOffset>
                </wp:positionH>
                <wp:positionV relativeFrom="paragraph">
                  <wp:posOffset>60325</wp:posOffset>
                </wp:positionV>
                <wp:extent cx="6119495" cy="0"/>
                <wp:effectExtent l="5715" t="7620" r="889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94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E09B02" id="Straight Connector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75pt" to="481.8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c7L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" o:allowincell="f" strokeweight=".5pt"/>
            </w:pict>
          </mc:Fallback>
        </mc:AlternateContent>
      </w:r>
    </w:p>
    <w:p w:rsidR="008B3127" w:rsidRPr="000929EB" w:rsidRDefault="007758CA" w:rsidP="000929EB">
      <w:pPr>
        <w:tabs>
          <w:tab w:val="left" w:pos="686"/>
        </w:tabs>
        <w:spacing w:line="258" w:lineRule="auto"/>
        <w:ind w:left="686" w:right="80"/>
        <w:jc w:val="both"/>
        <w:rPr>
          <w:rFonts w:ascii="Arial" w:eastAsia="Arial" w:hAnsi="Arial"/>
          <w:sz w:val="24"/>
          <w:szCs w:val="24"/>
        </w:rPr>
      </w:pPr>
      <w:r w:rsidRPr="000929EB">
        <w:rPr>
          <w:rFonts w:ascii="Arial" w:eastAsia="Arial" w:hAnsi="Arial"/>
          <w:sz w:val="24"/>
          <w:szCs w:val="24"/>
        </w:rPr>
        <w:t>An organisation</w:t>
      </w:r>
      <w:r w:rsidR="008B3127" w:rsidRPr="000929EB">
        <w:rPr>
          <w:rFonts w:ascii="Arial" w:eastAsia="Arial" w:hAnsi="Arial"/>
          <w:sz w:val="24"/>
          <w:szCs w:val="24"/>
        </w:rPr>
        <w:t xml:space="preserve"> should also include a clause requiring the incumbent service provider to provide information about staff, conditions and costs to potential service providers during a procurement exercise. This allows a potential service provider to assess the staffing and financial implications of </w:t>
      </w:r>
      <w:proofErr w:type="spellStart"/>
      <w:r w:rsidR="008B3127" w:rsidRPr="000929EB">
        <w:rPr>
          <w:rFonts w:ascii="Arial" w:eastAsia="Arial" w:hAnsi="Arial"/>
          <w:sz w:val="24"/>
          <w:szCs w:val="24"/>
        </w:rPr>
        <w:t>TUPE</w:t>
      </w:r>
      <w:proofErr w:type="spellEnd"/>
      <w:r w:rsidR="008B3127" w:rsidRPr="000929EB">
        <w:rPr>
          <w:rFonts w:ascii="Arial" w:eastAsia="Arial" w:hAnsi="Arial"/>
          <w:sz w:val="24"/>
          <w:szCs w:val="24"/>
        </w:rPr>
        <w:t xml:space="preserve"> transfers prior to submitting its tender.</w:t>
      </w:r>
    </w:p>
    <w:p w:rsidR="00380738" w:rsidRPr="000929EB" w:rsidRDefault="00380738" w:rsidP="000929EB">
      <w:pPr>
        <w:jc w:val="both"/>
        <w:rPr>
          <w:rFonts w:ascii="Arial" w:eastAsia="Times New Roman" w:hAnsi="Arial"/>
          <w:sz w:val="24"/>
          <w:szCs w:val="24"/>
        </w:rPr>
      </w:pPr>
      <w:r w:rsidRPr="000929EB">
        <w:rPr>
          <w:rFonts w:ascii="Arial" w:eastAsia="Times New Roman" w:hAnsi="Arial"/>
          <w:sz w:val="24"/>
          <w:szCs w:val="24"/>
        </w:rPr>
        <w:br w:type="page"/>
      </w:r>
    </w:p>
    <w:p w:rsidR="008B3127" w:rsidRPr="000929EB" w:rsidRDefault="008B3127" w:rsidP="000929EB">
      <w:pPr>
        <w:spacing w:line="257" w:lineRule="exact"/>
        <w:jc w:val="both"/>
        <w:rPr>
          <w:rFonts w:ascii="Arial" w:eastAsia="Times New Roman" w:hAnsi="Arial"/>
          <w:sz w:val="24"/>
          <w:szCs w:val="24"/>
        </w:rPr>
      </w:pPr>
    </w:p>
    <w:p w:rsidR="008B3127" w:rsidRPr="000929EB" w:rsidRDefault="008B3127" w:rsidP="000929EB">
      <w:pPr>
        <w:spacing w:line="0" w:lineRule="atLeast"/>
        <w:ind w:left="6"/>
        <w:jc w:val="both"/>
        <w:rPr>
          <w:rFonts w:ascii="Arial" w:eastAsia="Arial" w:hAnsi="Arial"/>
          <w:b/>
          <w:sz w:val="24"/>
          <w:szCs w:val="24"/>
        </w:rPr>
      </w:pPr>
      <w:r w:rsidRPr="000929EB">
        <w:rPr>
          <w:rFonts w:ascii="Arial" w:eastAsia="Arial" w:hAnsi="Arial"/>
          <w:b/>
          <w:sz w:val="24"/>
          <w:szCs w:val="24"/>
        </w:rPr>
        <w:t>Determining the transitional arrangements that will apply</w:t>
      </w:r>
    </w:p>
    <w:p w:rsidR="008B3127" w:rsidRPr="000929EB" w:rsidRDefault="008B3127" w:rsidP="000929EB">
      <w:pPr>
        <w:spacing w:line="336" w:lineRule="exact"/>
        <w:jc w:val="both"/>
        <w:rPr>
          <w:rFonts w:ascii="Arial" w:eastAsia="Times New Roman" w:hAnsi="Arial"/>
          <w:sz w:val="24"/>
          <w:szCs w:val="24"/>
        </w:rPr>
      </w:pPr>
      <w:r w:rsidRPr="000929EB">
        <w:rPr>
          <w:rFonts w:ascii="Arial" w:eastAsia="Arial" w:hAnsi="Arial"/>
          <w:b/>
          <w:noProof/>
          <w:sz w:val="24"/>
          <w:szCs w:val="24"/>
        </w:rPr>
        <mc:AlternateContent>
          <mc:Choice Requires="wps">
            <w:drawing>
              <wp:anchor distT="0" distB="0" distL="114300" distR="114300" simplePos="0" relativeHeight="251664384" behindDoc="1" locked="0" layoutInCell="0" allowOverlap="1" wp14:anchorId="5BBF44CA" wp14:editId="53BEF025">
                <wp:simplePos x="0" y="0"/>
                <wp:positionH relativeFrom="column">
                  <wp:posOffset>0</wp:posOffset>
                </wp:positionH>
                <wp:positionV relativeFrom="paragraph">
                  <wp:posOffset>136525</wp:posOffset>
                </wp:positionV>
                <wp:extent cx="6119495" cy="0"/>
                <wp:effectExtent l="5715" t="13970" r="8890" b="508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94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E6B4E" id="Straight Connector 4"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75pt" to="481.8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ANK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" o:allowincell="f" strokeweight=".5pt"/>
            </w:pict>
          </mc:Fallback>
        </mc:AlternateContent>
      </w:r>
      <w:r w:rsidRPr="000929EB">
        <w:rPr>
          <w:rFonts w:ascii="Arial" w:eastAsia="Arial" w:hAnsi="Arial"/>
          <w:b/>
          <w:noProof/>
          <w:sz w:val="24"/>
          <w:szCs w:val="24"/>
        </w:rPr>
        <mc:AlternateContent>
          <mc:Choice Requires="wps">
            <w:drawing>
              <wp:anchor distT="0" distB="0" distL="114300" distR="114300" simplePos="0" relativeHeight="251667456" behindDoc="1" locked="0" layoutInCell="0" allowOverlap="1" wp14:anchorId="5F0F9175" wp14:editId="734C236C">
                <wp:simplePos x="0" y="0"/>
                <wp:positionH relativeFrom="column">
                  <wp:posOffset>3175</wp:posOffset>
                </wp:positionH>
                <wp:positionV relativeFrom="paragraph">
                  <wp:posOffset>133350</wp:posOffset>
                </wp:positionV>
                <wp:extent cx="0" cy="2970530"/>
                <wp:effectExtent l="8890" t="10795" r="10160"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053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B4FD8" id="Straight Connector 3"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0.5pt" to=".25pt,2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" o:allowincell="f" strokeweight=".5pt"/>
            </w:pict>
          </mc:Fallback>
        </mc:AlternateContent>
      </w:r>
      <w:r w:rsidRPr="000929EB">
        <w:rPr>
          <w:rFonts w:ascii="Arial" w:eastAsia="Arial" w:hAnsi="Arial"/>
          <w:b/>
          <w:noProof/>
          <w:sz w:val="24"/>
          <w:szCs w:val="24"/>
        </w:rPr>
        <mc:AlternateContent>
          <mc:Choice Requires="wps">
            <w:drawing>
              <wp:anchor distT="0" distB="0" distL="114300" distR="114300" simplePos="0" relativeHeight="251670528" behindDoc="1" locked="0" layoutInCell="0" allowOverlap="1" wp14:anchorId="4AF7D1FB" wp14:editId="203F6BD1">
                <wp:simplePos x="0" y="0"/>
                <wp:positionH relativeFrom="column">
                  <wp:posOffset>6116320</wp:posOffset>
                </wp:positionH>
                <wp:positionV relativeFrom="paragraph">
                  <wp:posOffset>133350</wp:posOffset>
                </wp:positionV>
                <wp:extent cx="0" cy="2970530"/>
                <wp:effectExtent l="6985" t="10795" r="1206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053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0C50E" id="Straight Connector 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6pt,10.5pt" to="481.6pt,2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" o:allowincell="f" strokeweight=".5pt"/>
            </w:pict>
          </mc:Fallback>
        </mc:AlternateContent>
      </w:r>
    </w:p>
    <w:p w:rsidR="008B3127" w:rsidRPr="000929EB" w:rsidRDefault="007758CA" w:rsidP="000929EB">
      <w:pPr>
        <w:spacing w:line="263" w:lineRule="auto"/>
        <w:ind w:left="166" w:right="260"/>
        <w:jc w:val="both"/>
        <w:rPr>
          <w:rFonts w:ascii="Arial" w:eastAsia="Arial" w:hAnsi="Arial"/>
          <w:sz w:val="24"/>
          <w:szCs w:val="24"/>
        </w:rPr>
      </w:pPr>
      <w:r w:rsidRPr="000929EB">
        <w:rPr>
          <w:rFonts w:ascii="Arial" w:eastAsia="Arial" w:hAnsi="Arial"/>
          <w:sz w:val="24"/>
          <w:szCs w:val="24"/>
        </w:rPr>
        <w:t>An organisation</w:t>
      </w:r>
      <w:r w:rsidR="008B3127" w:rsidRPr="000929EB">
        <w:rPr>
          <w:rFonts w:ascii="Arial" w:eastAsia="Arial" w:hAnsi="Arial"/>
          <w:sz w:val="24"/>
          <w:szCs w:val="24"/>
        </w:rPr>
        <w:t xml:space="preserve"> should determine the transitional arrangements that will apply when a new service is established or if an existing service transfers to a different service provider. As part of the planning process, it should address:</w:t>
      </w:r>
    </w:p>
    <w:p w:rsidR="008B3127" w:rsidRPr="000929EB" w:rsidRDefault="008B3127" w:rsidP="000929EB">
      <w:pPr>
        <w:spacing w:line="131" w:lineRule="exact"/>
        <w:jc w:val="both"/>
        <w:rPr>
          <w:rFonts w:ascii="Arial" w:eastAsia="Times New Roman" w:hAnsi="Arial"/>
          <w:sz w:val="24"/>
          <w:szCs w:val="24"/>
        </w:rPr>
      </w:pPr>
    </w:p>
    <w:p w:rsidR="008B3127" w:rsidRPr="000929EB" w:rsidRDefault="008B3127" w:rsidP="000929EB">
      <w:pPr>
        <w:numPr>
          <w:ilvl w:val="0"/>
          <w:numId w:val="10"/>
        </w:numPr>
        <w:tabs>
          <w:tab w:val="left" w:pos="886"/>
        </w:tabs>
        <w:spacing w:line="0" w:lineRule="atLeast"/>
        <w:ind w:left="886" w:hanging="484"/>
        <w:jc w:val="both"/>
        <w:rPr>
          <w:rFonts w:ascii="Arial" w:eastAsia="Arial" w:hAnsi="Arial"/>
          <w:sz w:val="24"/>
          <w:szCs w:val="24"/>
        </w:rPr>
      </w:pPr>
      <w:r w:rsidRPr="000929EB">
        <w:rPr>
          <w:rFonts w:ascii="Arial" w:eastAsia="Arial" w:hAnsi="Arial"/>
          <w:sz w:val="24"/>
          <w:szCs w:val="24"/>
        </w:rPr>
        <w:t>the timescale and arrangements for the service transfer;</w:t>
      </w:r>
    </w:p>
    <w:p w:rsidR="008B3127" w:rsidRPr="000929EB" w:rsidRDefault="008B3127" w:rsidP="000929EB">
      <w:pPr>
        <w:spacing w:line="182" w:lineRule="exact"/>
        <w:jc w:val="both"/>
        <w:rPr>
          <w:rFonts w:ascii="Arial" w:eastAsia="Arial" w:hAnsi="Arial"/>
          <w:sz w:val="24"/>
          <w:szCs w:val="24"/>
        </w:rPr>
      </w:pPr>
    </w:p>
    <w:p w:rsidR="008B3127" w:rsidRPr="000929EB" w:rsidRDefault="008B3127" w:rsidP="000929EB">
      <w:pPr>
        <w:numPr>
          <w:ilvl w:val="0"/>
          <w:numId w:val="10"/>
        </w:numPr>
        <w:tabs>
          <w:tab w:val="left" w:pos="886"/>
        </w:tabs>
        <w:spacing w:line="258" w:lineRule="auto"/>
        <w:ind w:left="886" w:right="420" w:hanging="484"/>
        <w:jc w:val="both"/>
        <w:rPr>
          <w:rFonts w:ascii="Arial" w:eastAsia="Arial" w:hAnsi="Arial"/>
          <w:sz w:val="24"/>
          <w:szCs w:val="24"/>
        </w:rPr>
      </w:pPr>
      <w:r w:rsidRPr="000929EB">
        <w:rPr>
          <w:rFonts w:ascii="Arial" w:eastAsia="Arial" w:hAnsi="Arial"/>
          <w:sz w:val="24"/>
          <w:szCs w:val="24"/>
        </w:rPr>
        <w:t xml:space="preserve">how it will communicate the outcome of the procurement exercise and the transitional arrangements to people who use the services and their </w:t>
      </w:r>
      <w:proofErr w:type="spellStart"/>
      <w:r w:rsidRPr="000929EB">
        <w:rPr>
          <w:rFonts w:ascii="Arial" w:eastAsia="Arial" w:hAnsi="Arial"/>
          <w:sz w:val="24"/>
          <w:szCs w:val="24"/>
        </w:rPr>
        <w:t>carers</w:t>
      </w:r>
      <w:proofErr w:type="spellEnd"/>
      <w:r w:rsidRPr="000929EB">
        <w:rPr>
          <w:rFonts w:ascii="Arial" w:eastAsia="Arial" w:hAnsi="Arial"/>
          <w:sz w:val="24"/>
          <w:szCs w:val="24"/>
        </w:rPr>
        <w:t>, service providers and relevant staff within their own organisation (including assessment and care management staff);</w:t>
      </w:r>
    </w:p>
    <w:p w:rsidR="008B3127" w:rsidRPr="000929EB" w:rsidRDefault="008B3127" w:rsidP="000929EB">
      <w:pPr>
        <w:spacing w:line="135" w:lineRule="exact"/>
        <w:jc w:val="both"/>
        <w:rPr>
          <w:rFonts w:ascii="Arial" w:eastAsia="Arial" w:hAnsi="Arial"/>
          <w:sz w:val="24"/>
          <w:szCs w:val="24"/>
        </w:rPr>
      </w:pPr>
    </w:p>
    <w:p w:rsidR="008B3127" w:rsidRPr="000929EB" w:rsidRDefault="008B3127" w:rsidP="000929EB">
      <w:pPr>
        <w:numPr>
          <w:ilvl w:val="0"/>
          <w:numId w:val="10"/>
        </w:numPr>
        <w:tabs>
          <w:tab w:val="left" w:pos="886"/>
        </w:tabs>
        <w:spacing w:line="262" w:lineRule="auto"/>
        <w:ind w:left="886" w:right="220" w:hanging="484"/>
        <w:jc w:val="both"/>
        <w:rPr>
          <w:rFonts w:ascii="Arial" w:eastAsia="Arial" w:hAnsi="Arial"/>
          <w:sz w:val="24"/>
          <w:szCs w:val="24"/>
        </w:rPr>
      </w:pPr>
      <w:r w:rsidRPr="000929EB">
        <w:rPr>
          <w:rFonts w:ascii="Arial" w:eastAsia="Arial" w:hAnsi="Arial"/>
          <w:sz w:val="24"/>
          <w:szCs w:val="24"/>
        </w:rPr>
        <w:t xml:space="preserve">what information will be provided to people who use the services and their carers about </w:t>
      </w:r>
      <w:proofErr w:type="spellStart"/>
      <w:r w:rsidRPr="000929EB">
        <w:rPr>
          <w:rFonts w:ascii="Arial" w:eastAsia="Arial" w:hAnsi="Arial"/>
          <w:sz w:val="24"/>
          <w:szCs w:val="24"/>
        </w:rPr>
        <w:t>SDS</w:t>
      </w:r>
      <w:proofErr w:type="spellEnd"/>
      <w:r w:rsidRPr="000929EB">
        <w:rPr>
          <w:rFonts w:ascii="Arial" w:eastAsia="Arial" w:hAnsi="Arial"/>
          <w:sz w:val="24"/>
          <w:szCs w:val="24"/>
        </w:rPr>
        <w:t>, including direct payments and arrangements for dealing with applications; and</w:t>
      </w:r>
    </w:p>
    <w:p w:rsidR="008B3127" w:rsidRPr="000929EB" w:rsidRDefault="008B3127" w:rsidP="000929EB">
      <w:pPr>
        <w:spacing w:line="130" w:lineRule="exact"/>
        <w:jc w:val="both"/>
        <w:rPr>
          <w:rFonts w:ascii="Arial" w:eastAsia="Arial" w:hAnsi="Arial"/>
          <w:sz w:val="24"/>
          <w:szCs w:val="24"/>
        </w:rPr>
      </w:pPr>
    </w:p>
    <w:p w:rsidR="008B3127" w:rsidRPr="000929EB" w:rsidRDefault="008B3127" w:rsidP="000929EB">
      <w:pPr>
        <w:tabs>
          <w:tab w:val="left" w:pos="886"/>
        </w:tabs>
        <w:spacing w:line="273" w:lineRule="auto"/>
        <w:ind w:left="886" w:right="460"/>
        <w:jc w:val="both"/>
        <w:rPr>
          <w:rFonts w:ascii="Arial" w:eastAsia="Arial" w:hAnsi="Arial"/>
          <w:sz w:val="24"/>
          <w:szCs w:val="24"/>
        </w:rPr>
      </w:pPr>
      <w:r w:rsidRPr="000929EB">
        <w:rPr>
          <w:rFonts w:ascii="Arial" w:eastAsia="Arial" w:hAnsi="Arial"/>
          <w:sz w:val="24"/>
          <w:szCs w:val="24"/>
        </w:rPr>
        <w:t>additional support arrangements for people who use the services and their carers during the transition period.</w:t>
      </w:r>
    </w:p>
    <w:p w:rsidR="008B3127" w:rsidRPr="000929EB" w:rsidRDefault="008B3127" w:rsidP="000929EB">
      <w:pPr>
        <w:spacing w:line="335" w:lineRule="exact"/>
        <w:jc w:val="both"/>
        <w:rPr>
          <w:rFonts w:ascii="Arial" w:eastAsia="Times New Roman" w:hAnsi="Arial"/>
          <w:sz w:val="24"/>
          <w:szCs w:val="24"/>
        </w:rPr>
      </w:pPr>
      <w:r w:rsidRPr="000929EB">
        <w:rPr>
          <w:rFonts w:ascii="Arial" w:eastAsia="Arial" w:hAnsi="Arial"/>
          <w:noProof/>
          <w:sz w:val="24"/>
          <w:szCs w:val="24"/>
        </w:rPr>
        <mc:AlternateContent>
          <mc:Choice Requires="wps">
            <w:drawing>
              <wp:anchor distT="0" distB="0" distL="114300" distR="114300" simplePos="0" relativeHeight="251673600" behindDoc="1" locked="0" layoutInCell="0" allowOverlap="1" wp14:anchorId="3C17FE67" wp14:editId="7F878836">
                <wp:simplePos x="0" y="0"/>
                <wp:positionH relativeFrom="column">
                  <wp:posOffset>0</wp:posOffset>
                </wp:positionH>
                <wp:positionV relativeFrom="paragraph">
                  <wp:posOffset>42545</wp:posOffset>
                </wp:positionV>
                <wp:extent cx="6119495" cy="0"/>
                <wp:effectExtent l="5715" t="6350" r="8890"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94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55287" id="Straight Connector 1"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35pt" to="481.8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2mhHA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" o:allowincell="f" strokeweight=".5pt"/>
            </w:pict>
          </mc:Fallback>
        </mc:AlternateContent>
      </w:r>
    </w:p>
    <w:p w:rsidR="008B3127" w:rsidRPr="000929EB" w:rsidRDefault="008B3127" w:rsidP="000929EB">
      <w:pPr>
        <w:tabs>
          <w:tab w:val="left" w:pos="686"/>
        </w:tabs>
        <w:spacing w:line="275" w:lineRule="auto"/>
        <w:ind w:left="686" w:right="560"/>
        <w:jc w:val="both"/>
        <w:rPr>
          <w:rFonts w:ascii="Arial" w:eastAsia="Arial" w:hAnsi="Arial"/>
          <w:sz w:val="24"/>
          <w:szCs w:val="24"/>
        </w:rPr>
      </w:pPr>
      <w:r w:rsidRPr="000929EB">
        <w:rPr>
          <w:rFonts w:ascii="Arial" w:eastAsia="Arial" w:hAnsi="Arial"/>
          <w:sz w:val="24"/>
          <w:szCs w:val="24"/>
        </w:rPr>
        <w:t>A service provider also has a legal obligation to notify people who use services about care service cancellation.</w:t>
      </w:r>
    </w:p>
    <w:p w:rsidR="008B3127" w:rsidRPr="000929EB" w:rsidRDefault="008B3127" w:rsidP="000929EB">
      <w:pPr>
        <w:spacing w:line="237" w:lineRule="exact"/>
        <w:jc w:val="both"/>
        <w:rPr>
          <w:rFonts w:ascii="Arial" w:eastAsia="Arial" w:hAnsi="Arial"/>
          <w:sz w:val="24"/>
          <w:szCs w:val="24"/>
        </w:rPr>
      </w:pPr>
    </w:p>
    <w:p w:rsidR="008B3127" w:rsidRPr="000929EB" w:rsidRDefault="007758CA" w:rsidP="000929EB">
      <w:pPr>
        <w:tabs>
          <w:tab w:val="left" w:pos="686"/>
        </w:tabs>
        <w:spacing w:line="258" w:lineRule="auto"/>
        <w:ind w:left="686"/>
        <w:jc w:val="both"/>
        <w:rPr>
          <w:rFonts w:ascii="Arial" w:eastAsia="Arial" w:hAnsi="Arial"/>
          <w:sz w:val="24"/>
          <w:szCs w:val="24"/>
        </w:rPr>
      </w:pPr>
      <w:r w:rsidRPr="000929EB">
        <w:rPr>
          <w:rFonts w:ascii="Arial" w:eastAsia="Arial" w:hAnsi="Arial"/>
          <w:sz w:val="24"/>
          <w:szCs w:val="24"/>
        </w:rPr>
        <w:t>An organisation</w:t>
      </w:r>
      <w:r w:rsidR="008B3127" w:rsidRPr="000929EB">
        <w:rPr>
          <w:rFonts w:ascii="Arial" w:eastAsia="Arial" w:hAnsi="Arial"/>
          <w:sz w:val="24"/>
          <w:szCs w:val="24"/>
        </w:rPr>
        <w:t xml:space="preserve"> may have legal obligations under the </w:t>
      </w:r>
      <w:proofErr w:type="spellStart"/>
      <w:r w:rsidR="008B3127" w:rsidRPr="000929EB">
        <w:rPr>
          <w:rFonts w:ascii="Arial" w:eastAsia="Arial" w:hAnsi="Arial"/>
          <w:sz w:val="24"/>
          <w:szCs w:val="24"/>
        </w:rPr>
        <w:t>TUPE</w:t>
      </w:r>
      <w:proofErr w:type="spellEnd"/>
      <w:r w:rsidR="008B3127" w:rsidRPr="000929EB">
        <w:rPr>
          <w:rFonts w:ascii="Arial" w:eastAsia="Arial" w:hAnsi="Arial"/>
          <w:sz w:val="24"/>
          <w:szCs w:val="24"/>
        </w:rPr>
        <w:t xml:space="preserve"> Regulations where it is outsourcing a service or bringing a service back in-house, in which case it should seek legal advice on the application of the Regulations to the particular circumstan</w:t>
      </w:r>
      <w:r w:rsidR="00835CB7" w:rsidRPr="000929EB">
        <w:rPr>
          <w:rFonts w:ascii="Arial" w:eastAsia="Arial" w:hAnsi="Arial"/>
          <w:sz w:val="24"/>
          <w:szCs w:val="24"/>
        </w:rPr>
        <w:t>ces. In all cases, organisations</w:t>
      </w:r>
      <w:r w:rsidR="008B3127" w:rsidRPr="000929EB">
        <w:rPr>
          <w:rFonts w:ascii="Arial" w:eastAsia="Arial" w:hAnsi="Arial"/>
          <w:sz w:val="24"/>
          <w:szCs w:val="24"/>
        </w:rPr>
        <w:t xml:space="preserve"> should consider the potential impact of staff transfers under the </w:t>
      </w:r>
      <w:proofErr w:type="spellStart"/>
      <w:r w:rsidR="008B3127" w:rsidRPr="000929EB">
        <w:rPr>
          <w:rFonts w:ascii="Arial" w:eastAsia="Arial" w:hAnsi="Arial"/>
          <w:sz w:val="24"/>
          <w:szCs w:val="24"/>
        </w:rPr>
        <w:t>TUPE</w:t>
      </w:r>
      <w:proofErr w:type="spellEnd"/>
      <w:r w:rsidR="008B3127" w:rsidRPr="000929EB">
        <w:rPr>
          <w:rFonts w:ascii="Arial" w:eastAsia="Arial" w:hAnsi="Arial"/>
          <w:sz w:val="24"/>
          <w:szCs w:val="24"/>
        </w:rPr>
        <w:t xml:space="preserve"> Regulations:</w:t>
      </w:r>
    </w:p>
    <w:p w:rsidR="008B3127" w:rsidRPr="000929EB" w:rsidRDefault="008B3127" w:rsidP="000929EB">
      <w:pPr>
        <w:spacing w:line="134" w:lineRule="exact"/>
        <w:jc w:val="both"/>
        <w:rPr>
          <w:rFonts w:ascii="Arial" w:eastAsia="Arial" w:hAnsi="Arial"/>
          <w:sz w:val="24"/>
          <w:szCs w:val="24"/>
        </w:rPr>
      </w:pPr>
    </w:p>
    <w:p w:rsidR="00374BA1" w:rsidRPr="000929EB" w:rsidRDefault="008B3127" w:rsidP="000929EB">
      <w:pPr>
        <w:numPr>
          <w:ilvl w:val="1"/>
          <w:numId w:val="11"/>
        </w:numPr>
        <w:tabs>
          <w:tab w:val="left" w:pos="966"/>
        </w:tabs>
        <w:spacing w:line="0" w:lineRule="atLeast"/>
        <w:ind w:left="966" w:hanging="286"/>
        <w:jc w:val="both"/>
        <w:rPr>
          <w:rFonts w:ascii="Arial" w:eastAsia="Arial" w:hAnsi="Arial"/>
          <w:sz w:val="24"/>
          <w:szCs w:val="24"/>
        </w:rPr>
      </w:pPr>
      <w:r w:rsidRPr="000929EB">
        <w:rPr>
          <w:rFonts w:ascii="Arial" w:eastAsia="Arial" w:hAnsi="Arial"/>
          <w:sz w:val="24"/>
          <w:szCs w:val="24"/>
        </w:rPr>
        <w:t>on continuity of support to people who use services and their carers;</w:t>
      </w:r>
    </w:p>
    <w:p w:rsidR="00374BA1" w:rsidRPr="000929EB" w:rsidRDefault="008B3127" w:rsidP="000929EB">
      <w:pPr>
        <w:numPr>
          <w:ilvl w:val="1"/>
          <w:numId w:val="11"/>
        </w:numPr>
        <w:tabs>
          <w:tab w:val="left" w:pos="966"/>
        </w:tabs>
        <w:spacing w:line="0" w:lineRule="atLeast"/>
        <w:ind w:left="966" w:hanging="286"/>
        <w:jc w:val="both"/>
        <w:rPr>
          <w:rFonts w:ascii="Arial" w:eastAsia="Arial" w:hAnsi="Arial"/>
          <w:sz w:val="24"/>
          <w:szCs w:val="24"/>
        </w:rPr>
      </w:pPr>
      <w:r w:rsidRPr="000929EB">
        <w:rPr>
          <w:rFonts w:ascii="Arial" w:eastAsia="Arial" w:hAnsi="Arial"/>
          <w:sz w:val="24"/>
          <w:szCs w:val="24"/>
        </w:rPr>
        <w:t>on the cost of delivering the service; and</w:t>
      </w:r>
    </w:p>
    <w:p w:rsidR="008B3127" w:rsidRPr="000929EB" w:rsidRDefault="008B3127" w:rsidP="000929EB">
      <w:pPr>
        <w:numPr>
          <w:ilvl w:val="1"/>
          <w:numId w:val="11"/>
        </w:numPr>
        <w:tabs>
          <w:tab w:val="left" w:pos="966"/>
        </w:tabs>
        <w:spacing w:line="0" w:lineRule="atLeast"/>
        <w:ind w:left="966" w:hanging="286"/>
        <w:jc w:val="both"/>
        <w:rPr>
          <w:rFonts w:ascii="Arial" w:eastAsia="Arial" w:hAnsi="Arial"/>
          <w:sz w:val="24"/>
          <w:szCs w:val="24"/>
        </w:rPr>
      </w:pPr>
      <w:r w:rsidRPr="000929EB">
        <w:rPr>
          <w:rFonts w:ascii="Arial" w:eastAsia="Arial" w:hAnsi="Arial"/>
          <w:sz w:val="24"/>
          <w:szCs w:val="24"/>
        </w:rPr>
        <w:t>on the affected workforce.</w:t>
      </w:r>
    </w:p>
    <w:p w:rsidR="008B3127" w:rsidRPr="000929EB" w:rsidRDefault="008B3127" w:rsidP="000929EB">
      <w:pPr>
        <w:spacing w:line="182" w:lineRule="exact"/>
        <w:jc w:val="both"/>
        <w:rPr>
          <w:rFonts w:ascii="Arial" w:eastAsia="Times New Roman" w:hAnsi="Arial"/>
          <w:sz w:val="24"/>
          <w:szCs w:val="24"/>
        </w:rPr>
      </w:pPr>
    </w:p>
    <w:p w:rsidR="008B3127" w:rsidRPr="000929EB" w:rsidRDefault="008B3127" w:rsidP="000929EB">
      <w:pPr>
        <w:spacing w:line="262" w:lineRule="auto"/>
        <w:ind w:left="686" w:right="80"/>
        <w:jc w:val="both"/>
        <w:rPr>
          <w:rFonts w:ascii="Arial" w:eastAsia="Arial" w:hAnsi="Arial"/>
          <w:sz w:val="24"/>
          <w:szCs w:val="24"/>
        </w:rPr>
      </w:pPr>
      <w:r w:rsidRPr="000929EB">
        <w:rPr>
          <w:rFonts w:ascii="Arial" w:eastAsia="Arial" w:hAnsi="Arial"/>
          <w:sz w:val="24"/>
          <w:szCs w:val="24"/>
        </w:rPr>
        <w:t xml:space="preserve">It should also consider what action they will need to take to facilitate the exchange of information between service providers or the transfer of staff should the </w:t>
      </w:r>
      <w:proofErr w:type="spellStart"/>
      <w:r w:rsidRPr="000929EB">
        <w:rPr>
          <w:rFonts w:ascii="Arial" w:eastAsia="Arial" w:hAnsi="Arial"/>
          <w:sz w:val="24"/>
          <w:szCs w:val="24"/>
        </w:rPr>
        <w:t>TUPE</w:t>
      </w:r>
      <w:proofErr w:type="spellEnd"/>
      <w:r w:rsidRPr="000929EB">
        <w:rPr>
          <w:rFonts w:ascii="Arial" w:eastAsia="Arial" w:hAnsi="Arial"/>
          <w:sz w:val="24"/>
          <w:szCs w:val="24"/>
        </w:rPr>
        <w:t xml:space="preserve"> Regulations apply.</w:t>
      </w:r>
    </w:p>
    <w:sectPr w:rsidR="008B3127" w:rsidRPr="000929EB" w:rsidSect="00C967BF">
      <w:headerReference w:type="even" r:id="rId9"/>
      <w:headerReference w:type="default" r:id="rId10"/>
      <w:footerReference w:type="even" r:id="rId11"/>
      <w:footerReference w:type="default" r:id="rId12"/>
      <w:headerReference w:type="first" r:id="rId13"/>
      <w:footerReference w:type="first" r:id="rId14"/>
      <w:pgSz w:w="11900" w:h="16838"/>
      <w:pgMar w:top="737" w:right="1134" w:bottom="737" w:left="1134" w:header="0" w:footer="170" w:gutter="0"/>
      <w:cols w:space="0" w:equalWidth="0">
        <w:col w:w="9632"/>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DCB" w:rsidRDefault="00441DCB">
      <w:r>
        <w:separator/>
      </w:r>
    </w:p>
  </w:endnote>
  <w:endnote w:type="continuationSeparator" w:id="0">
    <w:p w:rsidR="00441DCB" w:rsidRDefault="00441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7D7" w:rsidRDefault="001737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348" w:rsidRDefault="00895348" w:rsidP="00895348">
    <w:pPr>
      <w:jc w:val="right"/>
      <w:rPr>
        <w:rFonts w:ascii="Arial" w:hAnsi="Arial"/>
        <w:b/>
        <w:sz w:val="24"/>
        <w:szCs w:val="24"/>
      </w:rPr>
    </w:pPr>
    <w:r w:rsidRPr="00895348">
      <w:rPr>
        <w:rFonts w:ascii="Arial" w:hAnsi="Arial"/>
        <w:b/>
        <w:bCs/>
        <w:color w:val="CC3300"/>
        <w:sz w:val="24"/>
        <w:szCs w:val="24"/>
      </w:rPr>
      <w:t>Pr</w:t>
    </w:r>
    <w:r w:rsidRPr="00895348">
      <w:rPr>
        <w:rStyle w:val="branding--black"/>
        <w:rFonts w:ascii="Arial" w:hAnsi="Arial"/>
        <w:b/>
        <w:bCs/>
        <w:sz w:val="24"/>
        <w:szCs w:val="24"/>
      </w:rPr>
      <w:t>o</w:t>
    </w:r>
    <w:r w:rsidRPr="00895348">
      <w:rPr>
        <w:rFonts w:ascii="Arial" w:hAnsi="Arial"/>
        <w:b/>
        <w:bCs/>
        <w:color w:val="CC3300"/>
        <w:sz w:val="24"/>
        <w:szCs w:val="24"/>
      </w:rPr>
      <w:t>curement J</w:t>
    </w:r>
    <w:r w:rsidRPr="00895348">
      <w:rPr>
        <w:rStyle w:val="branding--black"/>
        <w:rFonts w:ascii="Arial" w:hAnsi="Arial"/>
        <w:b/>
        <w:bCs/>
        <w:sz w:val="24"/>
        <w:szCs w:val="24"/>
      </w:rPr>
      <w:t>o</w:t>
    </w:r>
    <w:r w:rsidRPr="00895348">
      <w:rPr>
        <w:rFonts w:ascii="Arial" w:hAnsi="Arial"/>
        <w:b/>
        <w:bCs/>
        <w:color w:val="CC3300"/>
        <w:sz w:val="24"/>
        <w:szCs w:val="24"/>
      </w:rPr>
      <w:t>urney</w:t>
    </w:r>
    <w:r w:rsidRPr="00895348">
      <w:rPr>
        <w:rFonts w:ascii="Arial" w:hAnsi="Arial"/>
        <w:b/>
        <w:sz w:val="24"/>
        <w:szCs w:val="24"/>
      </w:rPr>
      <w:t xml:space="preserve"> </w:t>
    </w:r>
  </w:p>
  <w:p w:rsidR="001737D7" w:rsidRPr="001737D7" w:rsidRDefault="001737D7" w:rsidP="001737D7">
    <w:pPr>
      <w:rPr>
        <w:rFonts w:ascii="Arial" w:eastAsia="Times New Roman" w:hAnsi="Arial"/>
        <w:sz w:val="24"/>
        <w:szCs w:val="24"/>
      </w:rPr>
    </w:pPr>
    <w:bookmarkStart w:id="1" w:name="_GoBack"/>
    <w:r w:rsidRPr="001737D7">
      <w:rPr>
        <w:rFonts w:ascii="Arial" w:hAnsi="Arial"/>
        <w:sz w:val="24"/>
        <w:szCs w:val="24"/>
      </w:rPr>
      <w:t xml:space="preserve">Ref: </w:t>
    </w:r>
    <w:proofErr w:type="spellStart"/>
    <w:r w:rsidRPr="001737D7">
      <w:rPr>
        <w:rFonts w:ascii="Arial" w:hAnsi="Arial"/>
        <w:sz w:val="24"/>
        <w:szCs w:val="24"/>
      </w:rPr>
      <w:t>R3</w:t>
    </w:r>
    <w:proofErr w:type="spellEnd"/>
    <w:r w:rsidRPr="001737D7">
      <w:rPr>
        <w:rFonts w:ascii="Arial" w:hAnsi="Arial"/>
        <w:sz w:val="24"/>
        <w:szCs w:val="24"/>
      </w:rPr>
      <w:t>-83-A</w:t>
    </w:r>
  </w:p>
  <w:bookmarkEnd w:id="1"/>
  <w:p w:rsidR="003F2479" w:rsidRPr="000929EB" w:rsidRDefault="003F2479" w:rsidP="000929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7D7" w:rsidRDefault="001737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DCB" w:rsidRDefault="00441DCB">
      <w:r>
        <w:separator/>
      </w:r>
    </w:p>
  </w:footnote>
  <w:footnote w:type="continuationSeparator" w:id="0">
    <w:p w:rsidR="00441DCB" w:rsidRDefault="00441D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7D7" w:rsidRDefault="001737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479" w:rsidRPr="0067486A" w:rsidRDefault="003F2479" w:rsidP="0067486A">
    <w:pPr>
      <w:pStyle w:val="Header"/>
      <w:tabs>
        <w:tab w:val="clear" w:pos="4153"/>
        <w:tab w:val="clear" w:pos="8306"/>
        <w:tab w:val="center" w:pos="4500"/>
        <w:tab w:val="right" w:pos="900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7D7" w:rsidRDefault="001737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000007B"/>
    <w:multiLevelType w:val="hybridMultilevel"/>
    <w:tmpl w:val="260D8C4A"/>
    <w:lvl w:ilvl="0" w:tplc="FFFFFFFF">
      <w:start w:val="56"/>
      <w:numFmt w:val="decimal"/>
      <w:lvlText w:val="9.%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7C"/>
    <w:multiLevelType w:val="hybridMultilevel"/>
    <w:tmpl w:val="73D4D3C4"/>
    <w:lvl w:ilvl="0" w:tplc="FFFFFFFF">
      <w:start w:val="1"/>
      <w:numFmt w:val="decimal"/>
      <w:lvlText w:val="%1"/>
      <w:lvlJc w:val="left"/>
    </w:lvl>
    <w:lvl w:ilvl="1" w:tplc="FFFFFFFF">
      <w:start w:val="1"/>
      <w:numFmt w:val="bullet"/>
      <w:lvlText w:val="•"/>
      <w:lvlJc w:val="left"/>
    </w:lvl>
    <w:lvl w:ilvl="2" w:tplc="FFFFFFFF">
      <w:start w:val="9"/>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7D"/>
    <w:multiLevelType w:val="hybridMultilevel"/>
    <w:tmpl w:val="746F2E30"/>
    <w:lvl w:ilvl="0" w:tplc="FFFFFFFF">
      <w:start w:val="59"/>
      <w:numFmt w:val="decimal"/>
      <w:lvlText w:val="9.%1"/>
      <w:lvlJc w:val="left"/>
    </w:lvl>
    <w:lvl w:ilvl="1" w:tplc="FFFFFFFF">
      <w:start w:val="1"/>
      <w:numFmt w:val="bullet"/>
      <w:lvlText w:val="•"/>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7E"/>
    <w:multiLevelType w:val="hybridMultilevel"/>
    <w:tmpl w:val="6FDE8AF6"/>
    <w:lvl w:ilvl="0" w:tplc="FFFFFFFF">
      <w:start w:val="62"/>
      <w:numFmt w:val="decimal"/>
      <w:lvlText w:val="9.%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7F"/>
    <w:multiLevelType w:val="hybridMultilevel"/>
    <w:tmpl w:val="3FC32E20"/>
    <w:lvl w:ilvl="0" w:tplc="FFFFFFFF">
      <w:start w:val="65"/>
      <w:numFmt w:val="decimal"/>
      <w:lvlText w:val="9.%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80"/>
    <w:multiLevelType w:val="hybridMultilevel"/>
    <w:tmpl w:val="49C0E82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81"/>
    <w:multiLevelType w:val="hybridMultilevel"/>
    <w:tmpl w:val="14D53684"/>
    <w:lvl w:ilvl="0" w:tplc="FFFFFFFF">
      <w:start w:val="66"/>
      <w:numFmt w:val="decimal"/>
      <w:lvlText w:val="9.%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num w:numId="1">
    <w:abstractNumId w:val="8"/>
  </w:num>
  <w:num w:numId="2">
    <w:abstractNumId w:val="0"/>
  </w:num>
  <w:num w:numId="3">
    <w:abstractNumId w:val="0"/>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127"/>
    <w:rsid w:val="00003595"/>
    <w:rsid w:val="00035F4E"/>
    <w:rsid w:val="000929EB"/>
    <w:rsid w:val="00100021"/>
    <w:rsid w:val="001267F7"/>
    <w:rsid w:val="00157346"/>
    <w:rsid w:val="001737D7"/>
    <w:rsid w:val="00192DC7"/>
    <w:rsid w:val="00256A9C"/>
    <w:rsid w:val="002F3688"/>
    <w:rsid w:val="00374BA1"/>
    <w:rsid w:val="00380738"/>
    <w:rsid w:val="003F2479"/>
    <w:rsid w:val="00411FC4"/>
    <w:rsid w:val="00441DCB"/>
    <w:rsid w:val="00501C14"/>
    <w:rsid w:val="0067486A"/>
    <w:rsid w:val="006770B5"/>
    <w:rsid w:val="006D26F7"/>
    <w:rsid w:val="006E3982"/>
    <w:rsid w:val="007758CA"/>
    <w:rsid w:val="00813A6A"/>
    <w:rsid w:val="008147FD"/>
    <w:rsid w:val="00835CB7"/>
    <w:rsid w:val="00895348"/>
    <w:rsid w:val="008B0A0E"/>
    <w:rsid w:val="008B3127"/>
    <w:rsid w:val="00952710"/>
    <w:rsid w:val="009F71B8"/>
    <w:rsid w:val="00A56EBA"/>
    <w:rsid w:val="00A90A53"/>
    <w:rsid w:val="00AB54FF"/>
    <w:rsid w:val="00AC310B"/>
    <w:rsid w:val="00AE01CB"/>
    <w:rsid w:val="00C24225"/>
    <w:rsid w:val="00C86FBA"/>
    <w:rsid w:val="00C967BF"/>
    <w:rsid w:val="00E3599D"/>
    <w:rsid w:val="00E36759"/>
    <w:rsid w:val="00E97486"/>
    <w:rsid w:val="00F135DF"/>
    <w:rsid w:val="00F54A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B995A6"/>
  <w15:docId w15:val="{501596B3-1C06-481D-86CF-F2DE3A83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127"/>
    <w:rPr>
      <w:rFonts w:ascii="Calibri" w:eastAsia="Calibri" w:hAnsi="Calibri" w:cs="Arial"/>
      <w:sz w:val="20"/>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ind w:left="0" w:firstLine="0"/>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enter" w:pos="4153"/>
        <w:tab w:val="right" w:pos="8306"/>
      </w:tabs>
    </w:pPr>
  </w:style>
  <w:style w:type="paragraph" w:styleId="Footer">
    <w:name w:val="footer"/>
    <w:basedOn w:val="Normal"/>
    <w:rsid w:val="0067486A"/>
    <w:pPr>
      <w:tabs>
        <w:tab w:val="center" w:pos="4153"/>
        <w:tab w:val="right" w:pos="8306"/>
      </w:tabs>
    </w:pPr>
  </w:style>
  <w:style w:type="character" w:styleId="CommentReference">
    <w:name w:val="annotation reference"/>
    <w:basedOn w:val="DefaultParagraphFont"/>
    <w:uiPriority w:val="99"/>
    <w:semiHidden/>
    <w:unhideWhenUsed/>
    <w:rsid w:val="008B3127"/>
    <w:rPr>
      <w:sz w:val="16"/>
      <w:szCs w:val="16"/>
    </w:rPr>
  </w:style>
  <w:style w:type="paragraph" w:styleId="CommentText">
    <w:name w:val="annotation text"/>
    <w:basedOn w:val="Normal"/>
    <w:link w:val="CommentTextChar"/>
    <w:uiPriority w:val="99"/>
    <w:semiHidden/>
    <w:unhideWhenUsed/>
    <w:rsid w:val="008B3127"/>
  </w:style>
  <w:style w:type="character" w:customStyle="1" w:styleId="CommentTextChar">
    <w:name w:val="Comment Text Char"/>
    <w:basedOn w:val="DefaultParagraphFont"/>
    <w:link w:val="CommentText"/>
    <w:uiPriority w:val="99"/>
    <w:semiHidden/>
    <w:rsid w:val="008B3127"/>
    <w:rPr>
      <w:rFonts w:ascii="Calibri" w:eastAsia="Calibri" w:hAnsi="Calibri" w:cs="Arial"/>
      <w:sz w:val="20"/>
    </w:rPr>
  </w:style>
  <w:style w:type="paragraph" w:styleId="BalloonText">
    <w:name w:val="Balloon Text"/>
    <w:basedOn w:val="Normal"/>
    <w:link w:val="BalloonTextChar"/>
    <w:uiPriority w:val="99"/>
    <w:semiHidden/>
    <w:unhideWhenUsed/>
    <w:rsid w:val="008B3127"/>
    <w:rPr>
      <w:rFonts w:ascii="Tahoma" w:hAnsi="Tahoma" w:cs="Tahoma"/>
      <w:sz w:val="16"/>
      <w:szCs w:val="16"/>
    </w:rPr>
  </w:style>
  <w:style w:type="character" w:customStyle="1" w:styleId="BalloonTextChar">
    <w:name w:val="Balloon Text Char"/>
    <w:basedOn w:val="DefaultParagraphFont"/>
    <w:link w:val="BalloonText"/>
    <w:uiPriority w:val="99"/>
    <w:semiHidden/>
    <w:rsid w:val="008B3127"/>
    <w:rPr>
      <w:rFonts w:ascii="Tahoma" w:eastAsia="Calibri" w:hAnsi="Tahoma" w:cs="Tahoma"/>
      <w:sz w:val="16"/>
      <w:szCs w:val="16"/>
    </w:rPr>
  </w:style>
  <w:style w:type="character" w:customStyle="1" w:styleId="branding--black">
    <w:name w:val="branding--black"/>
    <w:basedOn w:val="DefaultParagraphFont"/>
    <w:rsid w:val="00895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884869">
      <w:bodyDiv w:val="1"/>
      <w:marLeft w:val="0"/>
      <w:marRight w:val="0"/>
      <w:marTop w:val="0"/>
      <w:marBottom w:val="0"/>
      <w:divBdr>
        <w:top w:val="none" w:sz="0" w:space="0" w:color="auto"/>
        <w:left w:val="none" w:sz="0" w:space="0" w:color="auto"/>
        <w:bottom w:val="none" w:sz="0" w:space="0" w:color="auto"/>
        <w:right w:val="none" w:sz="0" w:space="0" w:color="auto"/>
      </w:divBdr>
    </w:div>
    <w:div w:id="199328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A28366214</value>
    </field>
    <field name="Objective-Title">
      <value order="0">Care and Support Services Contract Type Duration and Transitional Arrangements</value>
    </field>
    <field name="Objective-Description">
      <value order="0">Updated New Doc</value>
    </field>
    <field name="Objective-CreationStamp">
      <value order="0">2020-05-14T13:51:21Z</value>
    </field>
    <field name="Objective-IsApproved">
      <value order="0">false</value>
    </field>
    <field name="Objective-IsPublished">
      <value order="0">true</value>
    </field>
    <field name="Objective-DatePublished">
      <value order="0">2020-05-14T13:51:20Z</value>
    </field>
    <field name="Objective-ModificationStamp">
      <value order="0">2020-05-14T13:51:21Z</value>
    </field>
    <field name="Objective-Owner">
      <value order="0">Martin, Shaw S (U445518)</value>
    </field>
    <field name="Objective-Path">
      <value order="0">Objective Global Folder:SG File Plan:Government, politics and public administration:Public administration:Procurement:Advice and policy: Procurement:Procurement Development: Best Practice: Procurement Journey Route 4 - 2020: 2020-2025</value>
    </field>
    <field name="Objective-Parent">
      <value order="0">Procurement Development: Best Practice: Procurement Journey Route 4 - 2020: 2020-2025</value>
    </field>
    <field name="Objective-State">
      <value order="0">Published</value>
    </field>
    <field name="Objective-VersionId">
      <value order="0">vA41151148</value>
    </field>
    <field name="Objective-Version">
      <value order="0">1.0</value>
    </field>
    <field name="Objective-VersionNumber">
      <value order="0">1</value>
    </field>
    <field name="Objective-VersionComment">
      <value order="0">First version</value>
    </field>
    <field name="Objective-FileNumber">
      <value order="0">CASE/491146</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1248</Words>
  <Characters>7242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z608474</dc:creator>
  <cp:lastModifiedBy>Naughton P (Paula)</cp:lastModifiedBy>
  <cp:revision>3</cp:revision>
  <dcterms:created xsi:type="dcterms:W3CDTF">2020-11-05T14:23:00Z</dcterms:created>
  <dcterms:modified xsi:type="dcterms:W3CDTF">2020-11-05T15:34:00Z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A28366214</vt:lpwstr>
  </property>
  <property fmtid="{D5CDD505-2E9C-101B-9397-08002B2CF9AE}" pid="4" name="Objective-Title">
    <vt:lpwstr>Care and Support Services Contract Type Duration and Transitional Arrangements</vt:lpwstr>
  </property>
  <property fmtid="{D5CDD505-2E9C-101B-9397-08002B2CF9AE}" pid="5" name="Objective-Description">
    <vt:lpwstr>Updated New Doc</vt:lpwstr>
  </property>
  <property fmtid="{D5CDD505-2E9C-101B-9397-08002B2CF9AE}" pid="6" name="Objective-CreationStamp">
    <vt:filetime>2020-05-14T13:51:21Z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2020-05-14T13:51:20Z</vt:filetime>
  </property>
  <property fmtid="{D5CDD505-2E9C-101B-9397-08002B2CF9AE}" pid="10" name="Objective-ModificationStamp">
    <vt:filetime>2020-05-14T13:51:21Z</vt:filetime>
  </property>
  <property fmtid="{D5CDD505-2E9C-101B-9397-08002B2CF9AE}" pid="11" name="Objective-Owner">
    <vt:lpwstr>Martin, Shaw S (U445518)</vt:lpwstr>
  </property>
  <property fmtid="{D5CDD505-2E9C-101B-9397-08002B2CF9AE}" pid="12" name="Objective-Path">
    <vt:lpwstr>Objective Global Folder:SG File Plan:Government, politics and public administration:Public administration:Procurement:Advice and policy: Procurement:Procurement Development: Best Practice: Procurement Journey Route 4 - 2020: 2020-2025</vt:lpwstr>
  </property>
  <property fmtid="{D5CDD505-2E9C-101B-9397-08002B2CF9AE}" pid="13" name="Objective-Parent">
    <vt:lpwstr>Procurement Development: Best Practice: Procurement Journey Route 4 - 2020: 2020-2025</vt:lpwstr>
  </property>
  <property fmtid="{D5CDD505-2E9C-101B-9397-08002B2CF9AE}" pid="14" name="Objective-State">
    <vt:lpwstr>Published</vt:lpwstr>
  </property>
  <property fmtid="{D5CDD505-2E9C-101B-9397-08002B2CF9AE}" pid="15" name="Objective-VersionId">
    <vt:lpwstr>vA41151148</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CASE/491146</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Connect Creator">
    <vt:lpwstr/>
  </property>
  <property fmtid="{D5CDD505-2E9C-101B-9397-08002B2CF9AE}" pid="23" name="Objective-Date Received">
    <vt:lpwstr/>
  </property>
  <property fmtid="{D5CDD505-2E9C-101B-9397-08002B2CF9AE}" pid="24" name="Objective-Date of Original">
    <vt:lpwstr/>
  </property>
  <property fmtid="{D5CDD505-2E9C-101B-9397-08002B2CF9AE}" pid="25" name="Objective-SG Web Publication - Category">
    <vt:lpwstr/>
  </property>
  <property fmtid="{D5CDD505-2E9C-101B-9397-08002B2CF9AE}" pid="26" name="Objective-SG Web Publication - Category 2 Classification">
    <vt:lpwstr/>
  </property>
  <property fmtid="{D5CDD505-2E9C-101B-9397-08002B2CF9AE}" pid="27" name="Objective-Comment">
    <vt:lpwstr/>
  </property>
  <property fmtid="{D5CDD505-2E9C-101B-9397-08002B2CF9AE}" pid="28" name="Objective-Date of Original [system]">
    <vt:lpwstr/>
  </property>
  <property fmtid="{D5CDD505-2E9C-101B-9397-08002B2CF9AE}" pid="29" name="Objective-Date Received [system]">
    <vt:lpwstr/>
  </property>
  <property fmtid="{D5CDD505-2E9C-101B-9397-08002B2CF9AE}" pid="30" name="Objective-SG Web Publication - Category [system]">
    <vt:lpwstr/>
  </property>
  <property fmtid="{D5CDD505-2E9C-101B-9397-08002B2CF9AE}" pid="31" name="Objective-SG Web Publication - Category 2 Classification [system]">
    <vt:lpwstr/>
  </property>
  <property fmtid="{D5CDD505-2E9C-101B-9397-08002B2CF9AE}" pid="32" name="Objective-Connect Creator [system]">
    <vt:lpwstr/>
  </property>
</Properties>
</file>