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184" w:type="dxa"/>
        <w:tblInd w:w="-601" w:type="dxa"/>
        <w:tblLook w:val="04A0" w:firstRow="1" w:lastRow="0" w:firstColumn="1" w:lastColumn="0" w:noHBand="0" w:noVBand="1"/>
      </w:tblPr>
      <w:tblGrid>
        <w:gridCol w:w="3403"/>
        <w:gridCol w:w="4252"/>
        <w:gridCol w:w="3609"/>
        <w:gridCol w:w="4896"/>
        <w:gridCol w:w="5024"/>
      </w:tblGrid>
      <w:tr w:rsidR="007865C0" w:rsidRPr="00892225" w14:paraId="0D37ED48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7585D242" w14:textId="77777777" w:rsidR="007865C0" w:rsidRPr="00892225" w:rsidRDefault="007865C0" w:rsidP="006C00D8">
            <w:pPr>
              <w:rPr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892225">
              <w:rPr>
                <w:b/>
                <w:color w:val="FFFFFF" w:themeColor="background1"/>
                <w:sz w:val="20"/>
                <w:szCs w:val="20"/>
              </w:rPr>
              <w:t>Supply Position</w:t>
            </w:r>
          </w:p>
        </w:tc>
        <w:tc>
          <w:tcPr>
            <w:tcW w:w="4252" w:type="dxa"/>
            <w:shd w:val="clear" w:color="auto" w:fill="92D050"/>
            <w:vAlign w:val="center"/>
          </w:tcPr>
          <w:p w14:paraId="29E020C5" w14:textId="77777777" w:rsidR="007865C0" w:rsidRPr="00892225" w:rsidRDefault="007865C0" w:rsidP="00B858C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2225">
              <w:rPr>
                <w:b/>
                <w:color w:val="FFFFFF" w:themeColor="background1"/>
                <w:sz w:val="24"/>
                <w:szCs w:val="24"/>
              </w:rPr>
              <w:t>ROUTINE</w:t>
            </w:r>
          </w:p>
        </w:tc>
        <w:tc>
          <w:tcPr>
            <w:tcW w:w="3609" w:type="dxa"/>
            <w:shd w:val="clear" w:color="auto" w:fill="E43528"/>
            <w:vAlign w:val="center"/>
          </w:tcPr>
          <w:p w14:paraId="1655E389" w14:textId="77777777" w:rsidR="007865C0" w:rsidRPr="00892225" w:rsidRDefault="007865C0" w:rsidP="004A719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2225">
              <w:rPr>
                <w:b/>
                <w:color w:val="FFFFFF" w:themeColor="background1"/>
                <w:sz w:val="24"/>
                <w:szCs w:val="24"/>
              </w:rPr>
              <w:t>STRATEGIC</w:t>
            </w:r>
          </w:p>
        </w:tc>
        <w:tc>
          <w:tcPr>
            <w:tcW w:w="4896" w:type="dxa"/>
            <w:shd w:val="clear" w:color="auto" w:fill="FFC000"/>
            <w:vAlign w:val="center"/>
          </w:tcPr>
          <w:p w14:paraId="7806BA8F" w14:textId="77777777" w:rsidR="007865C0" w:rsidRPr="00892225" w:rsidRDefault="007865C0" w:rsidP="004A719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2225">
              <w:rPr>
                <w:b/>
                <w:color w:val="FFFFFF" w:themeColor="background1"/>
                <w:sz w:val="24"/>
                <w:szCs w:val="24"/>
              </w:rPr>
              <w:t>BOTTLENECK</w:t>
            </w:r>
          </w:p>
        </w:tc>
        <w:tc>
          <w:tcPr>
            <w:tcW w:w="5024" w:type="dxa"/>
            <w:shd w:val="clear" w:color="auto" w:fill="FFC000"/>
            <w:vAlign w:val="center"/>
          </w:tcPr>
          <w:p w14:paraId="352FFE34" w14:textId="77777777" w:rsidR="007865C0" w:rsidRPr="00892225" w:rsidRDefault="007865C0" w:rsidP="004A719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2225">
              <w:rPr>
                <w:b/>
                <w:color w:val="FFFFFF" w:themeColor="background1"/>
                <w:sz w:val="24"/>
                <w:szCs w:val="24"/>
              </w:rPr>
              <w:t>LEVERAGE</w:t>
            </w:r>
          </w:p>
        </w:tc>
      </w:tr>
      <w:tr w:rsidR="007865C0" w:rsidRPr="00892225" w14:paraId="11791D6A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35969536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Contract Management Level</w:t>
            </w:r>
          </w:p>
        </w:tc>
        <w:tc>
          <w:tcPr>
            <w:tcW w:w="4252" w:type="dxa"/>
            <w:vAlign w:val="center"/>
          </w:tcPr>
          <w:p w14:paraId="6CE6F8FA" w14:textId="77777777" w:rsidR="007865C0" w:rsidRPr="00892225" w:rsidRDefault="007865C0" w:rsidP="00B858C7">
            <w:pPr>
              <w:jc w:val="center"/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3609" w:type="dxa"/>
            <w:vAlign w:val="center"/>
          </w:tcPr>
          <w:p w14:paraId="73EA9025" w14:textId="77777777" w:rsidR="007865C0" w:rsidRPr="00892225" w:rsidRDefault="007865C0" w:rsidP="0037663B">
            <w:pPr>
              <w:jc w:val="center"/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4896" w:type="dxa"/>
            <w:vAlign w:val="center"/>
          </w:tcPr>
          <w:p w14:paraId="08A8C911" w14:textId="77777777" w:rsidR="007865C0" w:rsidRPr="00892225" w:rsidRDefault="007865C0" w:rsidP="0037663B">
            <w:pPr>
              <w:jc w:val="center"/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5024" w:type="dxa"/>
            <w:vAlign w:val="center"/>
          </w:tcPr>
          <w:p w14:paraId="4E363AC3" w14:textId="77777777" w:rsidR="007865C0" w:rsidRPr="00892225" w:rsidRDefault="007865C0" w:rsidP="0037663B">
            <w:pPr>
              <w:jc w:val="center"/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Medium</w:t>
            </w:r>
          </w:p>
        </w:tc>
      </w:tr>
      <w:tr w:rsidR="007865C0" w:rsidRPr="00892225" w14:paraId="60D4163B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6E6A256D" w14:textId="77777777" w:rsidR="007865C0" w:rsidRPr="00892225" w:rsidRDefault="003D5034" w:rsidP="003D503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Contract Management Aim</w:t>
            </w:r>
          </w:p>
        </w:tc>
        <w:tc>
          <w:tcPr>
            <w:tcW w:w="4252" w:type="dxa"/>
          </w:tcPr>
          <w:p w14:paraId="792AB018" w14:textId="77777777" w:rsidR="003D5034" w:rsidRPr="00892225" w:rsidRDefault="003D5034" w:rsidP="003D5034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Ensure continuity of supply and risk awareness</w:t>
            </w:r>
          </w:p>
          <w:p w14:paraId="75B27F54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</w:tcPr>
          <w:p w14:paraId="5BCBA809" w14:textId="77777777" w:rsidR="007865C0" w:rsidRPr="00892225" w:rsidRDefault="003D5034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Ensure effective contract delivery and supplier performance, risk management and maximisation of supplier and market development opportunities.</w:t>
            </w:r>
          </w:p>
        </w:tc>
        <w:tc>
          <w:tcPr>
            <w:tcW w:w="4896" w:type="dxa"/>
          </w:tcPr>
          <w:p w14:paraId="2EFA381D" w14:textId="77777777" w:rsidR="007865C0" w:rsidRPr="00892225" w:rsidRDefault="003D5034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Ensure continuity of supply, value for money, risk management and supplier performance. Seek supplier development where possible. Retain/gain market knowledge. </w:t>
            </w:r>
          </w:p>
        </w:tc>
        <w:tc>
          <w:tcPr>
            <w:tcW w:w="5024" w:type="dxa"/>
          </w:tcPr>
          <w:p w14:paraId="50477804" w14:textId="77777777" w:rsidR="007865C0" w:rsidRPr="00892225" w:rsidRDefault="003D5034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Ensure continuity of supply, value for money, risk management and supplier performance. Seek supplier development where possible. Retain/gain market knowledge. </w:t>
            </w:r>
          </w:p>
        </w:tc>
      </w:tr>
      <w:tr w:rsidR="003D5034" w:rsidRPr="00892225" w14:paraId="0168262A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4365BB09" w14:textId="77777777" w:rsidR="003D5034" w:rsidRPr="00892225" w:rsidRDefault="003D503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Contract Management Characteristics</w:t>
            </w:r>
          </w:p>
        </w:tc>
        <w:tc>
          <w:tcPr>
            <w:tcW w:w="4252" w:type="dxa"/>
          </w:tcPr>
          <w:p w14:paraId="30C52DCC" w14:textId="77777777" w:rsidR="005D14AD" w:rsidRPr="00892225" w:rsidRDefault="00100272" w:rsidP="005D14AD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Low value and low risk</w:t>
            </w:r>
          </w:p>
          <w:p w14:paraId="177AC9AC" w14:textId="77777777" w:rsidR="00100272" w:rsidRPr="00892225" w:rsidRDefault="00100272" w:rsidP="005D14AD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This can </w:t>
            </w:r>
            <w:r w:rsidR="005D14AD" w:rsidRPr="00892225">
              <w:rPr>
                <w:sz w:val="20"/>
                <w:szCs w:val="20"/>
              </w:rPr>
              <w:t>cover procurements that are non-</w:t>
            </w:r>
            <w:r w:rsidRPr="00892225">
              <w:rPr>
                <w:sz w:val="20"/>
                <w:szCs w:val="20"/>
              </w:rPr>
              <w:t>business critical and/or have an abundant supply base, and also Procurement Journey Route 1 contracts.</w:t>
            </w:r>
          </w:p>
          <w:p w14:paraId="5C9787CD" w14:textId="77777777" w:rsidR="003D5034" w:rsidRPr="00892225" w:rsidRDefault="003D5034" w:rsidP="005D14AD">
            <w:pPr>
              <w:rPr>
                <w:sz w:val="20"/>
                <w:szCs w:val="20"/>
              </w:rPr>
            </w:pPr>
          </w:p>
          <w:p w14:paraId="3C41A5C7" w14:textId="77777777" w:rsidR="00100272" w:rsidRPr="00892225" w:rsidRDefault="00100272" w:rsidP="005D14AD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 In general, contract management of these agreements will include gathering management information, monitoring trends, and maintaining awareness of key category risks. </w:t>
            </w:r>
          </w:p>
          <w:p w14:paraId="3D81A91F" w14:textId="77777777" w:rsidR="003D5034" w:rsidRPr="00892225" w:rsidRDefault="003D5034" w:rsidP="005D14AD">
            <w:pPr>
              <w:rPr>
                <w:sz w:val="20"/>
                <w:szCs w:val="20"/>
              </w:rPr>
            </w:pPr>
          </w:p>
          <w:p w14:paraId="3241DE55" w14:textId="77777777" w:rsidR="003D5034" w:rsidRPr="00892225" w:rsidRDefault="00100272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Ensuring compliance to the contract by managing the delivery of the contract using four high level indicators i.e. cost, quality, delivery, service.  This may be through a customer survey where the questions can be categorised using the 4 level indicators mentioned above.</w:t>
            </w:r>
          </w:p>
        </w:tc>
        <w:tc>
          <w:tcPr>
            <w:tcW w:w="3609" w:type="dxa"/>
          </w:tcPr>
          <w:p w14:paraId="23FB3514" w14:textId="77777777" w:rsidR="00100272" w:rsidRPr="00892225" w:rsidRDefault="00100272" w:rsidP="005D14AD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Contracts that have high value and/or high risk will be managed strategically to ensure effective service delivery</w:t>
            </w:r>
          </w:p>
          <w:p w14:paraId="772FFDB4" w14:textId="77777777" w:rsidR="003D5034" w:rsidRPr="00892225" w:rsidRDefault="003D5034" w:rsidP="005D14AD">
            <w:pPr>
              <w:rPr>
                <w:sz w:val="20"/>
                <w:szCs w:val="20"/>
              </w:rPr>
            </w:pPr>
          </w:p>
          <w:p w14:paraId="0724E080" w14:textId="1AD1CF2D" w:rsidR="00100272" w:rsidRPr="00892225" w:rsidRDefault="00100272" w:rsidP="005D14AD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Through strategic contract management opportunities for supplier development and greater market knowledge can be identified. This will include managing the performance of the contract and the supplier using </w:t>
            </w:r>
            <w:r w:rsidRPr="008E457A">
              <w:rPr>
                <w:sz w:val="20"/>
                <w:szCs w:val="20"/>
              </w:rPr>
              <w:t xml:space="preserve">the </w:t>
            </w:r>
            <w:r w:rsidR="005D14AD" w:rsidRPr="008E457A">
              <w:rPr>
                <w:sz w:val="20"/>
                <w:szCs w:val="20"/>
              </w:rPr>
              <w:t xml:space="preserve">full </w:t>
            </w:r>
            <w:r w:rsidRPr="008E457A">
              <w:rPr>
                <w:sz w:val="20"/>
                <w:szCs w:val="20"/>
              </w:rPr>
              <w:t>balanced scorecard</w:t>
            </w:r>
            <w:r w:rsidRPr="00892225">
              <w:rPr>
                <w:sz w:val="20"/>
                <w:szCs w:val="20"/>
              </w:rPr>
              <w:t xml:space="preserve"> and using the foundation of Medium Level contract management.</w:t>
            </w:r>
          </w:p>
          <w:p w14:paraId="2CC53697" w14:textId="77777777" w:rsidR="003D5034" w:rsidRPr="00892225" w:rsidRDefault="003D5034" w:rsidP="00632861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</w:tcPr>
          <w:p w14:paraId="24CBF927" w14:textId="77777777" w:rsidR="00100272" w:rsidRPr="00892225" w:rsidRDefault="00100272" w:rsidP="005D14AD">
            <w:pPr>
              <w:ind w:left="-31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Procurement Managers shall ensure continuity of supply and value for money through ongoing effective contract management. </w:t>
            </w:r>
          </w:p>
          <w:p w14:paraId="40220CC8" w14:textId="77777777" w:rsidR="003D5034" w:rsidRPr="00892225" w:rsidRDefault="003D5034" w:rsidP="005D14AD">
            <w:pPr>
              <w:ind w:left="-31"/>
              <w:rPr>
                <w:sz w:val="20"/>
                <w:szCs w:val="20"/>
              </w:rPr>
            </w:pPr>
          </w:p>
          <w:p w14:paraId="755136A9" w14:textId="77777777" w:rsidR="00100272" w:rsidRPr="00892225" w:rsidRDefault="00100272" w:rsidP="005D14AD">
            <w:pPr>
              <w:ind w:left="-31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Typical contract management activities and tools include supplier review meetings, use of </w:t>
            </w:r>
            <w:proofErr w:type="spellStart"/>
            <w:r w:rsidRPr="00892225">
              <w:rPr>
                <w:sz w:val="20"/>
                <w:szCs w:val="20"/>
              </w:rPr>
              <w:t>KPI's</w:t>
            </w:r>
            <w:proofErr w:type="spellEnd"/>
            <w:r w:rsidRPr="00892225">
              <w:rPr>
                <w:sz w:val="20"/>
                <w:szCs w:val="20"/>
              </w:rPr>
              <w:t xml:space="preserve">, user feedback gathering, reviewing spend data, benchmarking costs, market intelligence, elements of Supplier Health Check and use of a Risk register. </w:t>
            </w:r>
          </w:p>
          <w:p w14:paraId="47AAE1B6" w14:textId="77777777" w:rsidR="003D5034" w:rsidRPr="00892225" w:rsidRDefault="003D5034" w:rsidP="005D14AD">
            <w:pPr>
              <w:ind w:left="-31"/>
              <w:rPr>
                <w:sz w:val="20"/>
                <w:szCs w:val="20"/>
              </w:rPr>
            </w:pPr>
          </w:p>
          <w:p w14:paraId="01A1E7C0" w14:textId="77777777" w:rsidR="005D14AD" w:rsidRPr="00892225" w:rsidRDefault="00100272" w:rsidP="005D14AD">
            <w:pPr>
              <w:ind w:left="-31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These contracts could be where there is  limited supply of a not critical/high cost item which needs management to maintain consistent supply ('Bottleneck'). </w:t>
            </w:r>
          </w:p>
          <w:p w14:paraId="3B44620E" w14:textId="77777777" w:rsidR="005D14AD" w:rsidRPr="00892225" w:rsidRDefault="005D14AD" w:rsidP="005D14AD">
            <w:pPr>
              <w:ind w:left="-31"/>
              <w:rPr>
                <w:sz w:val="20"/>
                <w:szCs w:val="20"/>
              </w:rPr>
            </w:pPr>
          </w:p>
          <w:p w14:paraId="49727A7E" w14:textId="77777777" w:rsidR="00100272" w:rsidRPr="00892225" w:rsidRDefault="00100272" w:rsidP="005D14AD">
            <w:pPr>
              <w:ind w:left="-31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This should expand on the four high level indicators and holding a minimum of one performance review meeting per annum.</w:t>
            </w:r>
          </w:p>
          <w:p w14:paraId="47D21D0C" w14:textId="77777777" w:rsidR="003D5034" w:rsidRPr="00892225" w:rsidRDefault="003D5034" w:rsidP="003D50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5024" w:type="dxa"/>
          </w:tcPr>
          <w:p w14:paraId="62B13710" w14:textId="77777777" w:rsidR="003D5034" w:rsidRPr="00892225" w:rsidRDefault="003D5034" w:rsidP="005D14AD">
            <w:pPr>
              <w:ind w:left="5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Procurement Managers shall ensure continuity of supply and value for money through ongoing effective contract management. </w:t>
            </w:r>
          </w:p>
          <w:p w14:paraId="439A5B9F" w14:textId="77777777" w:rsidR="003D5034" w:rsidRPr="00892225" w:rsidRDefault="003D5034" w:rsidP="005D14AD">
            <w:pPr>
              <w:tabs>
                <w:tab w:val="num" w:pos="338"/>
              </w:tabs>
              <w:ind w:left="54"/>
              <w:rPr>
                <w:sz w:val="20"/>
                <w:szCs w:val="20"/>
              </w:rPr>
            </w:pPr>
          </w:p>
          <w:p w14:paraId="13B9B171" w14:textId="77777777" w:rsidR="003D5034" w:rsidRPr="00892225" w:rsidRDefault="003D5034" w:rsidP="005D14AD">
            <w:pPr>
              <w:ind w:left="5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Typical contract management activities and tools include supplier review meetings, use of </w:t>
            </w:r>
            <w:proofErr w:type="spellStart"/>
            <w:r w:rsidRPr="00892225">
              <w:rPr>
                <w:sz w:val="20"/>
                <w:szCs w:val="20"/>
              </w:rPr>
              <w:t>KPI's</w:t>
            </w:r>
            <w:proofErr w:type="spellEnd"/>
            <w:r w:rsidRPr="00892225">
              <w:rPr>
                <w:sz w:val="20"/>
                <w:szCs w:val="20"/>
              </w:rPr>
              <w:t xml:space="preserve">, user feedback gathering, reviewing spend data, benchmarking costs, market intelligence, elements of Supplier Health Check and use of a Risk register. </w:t>
            </w:r>
          </w:p>
          <w:p w14:paraId="55D8E4E3" w14:textId="77777777" w:rsidR="003D5034" w:rsidRPr="00892225" w:rsidRDefault="003D5034" w:rsidP="005D14AD">
            <w:pPr>
              <w:tabs>
                <w:tab w:val="num" w:pos="338"/>
              </w:tabs>
              <w:ind w:left="54"/>
              <w:rPr>
                <w:sz w:val="20"/>
                <w:szCs w:val="20"/>
              </w:rPr>
            </w:pPr>
          </w:p>
          <w:p w14:paraId="7CD1B213" w14:textId="77777777" w:rsidR="003D5034" w:rsidRPr="00892225" w:rsidRDefault="003D5034" w:rsidP="005D14AD">
            <w:pPr>
              <w:ind w:left="5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These contracts could be where there is abundant supply and therefore a chance to improve price ('Leverage').</w:t>
            </w:r>
          </w:p>
          <w:p w14:paraId="13A98C66" w14:textId="77777777" w:rsidR="003D5034" w:rsidRPr="00892225" w:rsidRDefault="003D5034" w:rsidP="005D14AD">
            <w:pPr>
              <w:tabs>
                <w:tab w:val="num" w:pos="338"/>
              </w:tabs>
              <w:ind w:left="54"/>
              <w:rPr>
                <w:sz w:val="20"/>
                <w:szCs w:val="20"/>
              </w:rPr>
            </w:pPr>
          </w:p>
          <w:p w14:paraId="6A7BE484" w14:textId="77777777" w:rsidR="003D5034" w:rsidRPr="00892225" w:rsidRDefault="003D5034" w:rsidP="005D14AD">
            <w:pPr>
              <w:ind w:left="5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This should expand on the four high level indicators and holding a minimum of one performance review meeting per annum.</w:t>
            </w:r>
          </w:p>
          <w:p w14:paraId="2DFA9663" w14:textId="77777777" w:rsidR="003D5034" w:rsidRPr="00892225" w:rsidRDefault="003D5034">
            <w:pPr>
              <w:rPr>
                <w:sz w:val="20"/>
                <w:szCs w:val="20"/>
              </w:rPr>
            </w:pPr>
          </w:p>
        </w:tc>
      </w:tr>
      <w:tr w:rsidR="00100272" w:rsidRPr="00892225" w14:paraId="183BD8D2" w14:textId="77777777" w:rsidTr="00892225">
        <w:trPr>
          <w:trHeight w:val="411"/>
        </w:trPr>
        <w:tc>
          <w:tcPr>
            <w:tcW w:w="3403" w:type="dxa"/>
            <w:shd w:val="clear" w:color="auto" w:fill="808080" w:themeFill="background1" w:themeFillShade="80"/>
          </w:tcPr>
          <w:p w14:paraId="138CD6B4" w14:textId="77777777" w:rsidR="00100272" w:rsidRPr="00892225" w:rsidRDefault="0010027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Contract/Supplier Management Plan Template</w:t>
            </w:r>
          </w:p>
        </w:tc>
        <w:tc>
          <w:tcPr>
            <w:tcW w:w="4252" w:type="dxa"/>
          </w:tcPr>
          <w:p w14:paraId="1D1568C6" w14:textId="77777777" w:rsidR="00100272" w:rsidRPr="00892225" w:rsidRDefault="00100272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attach</w:t>
            </w:r>
          </w:p>
        </w:tc>
        <w:tc>
          <w:tcPr>
            <w:tcW w:w="3609" w:type="dxa"/>
          </w:tcPr>
          <w:p w14:paraId="59612771" w14:textId="77777777" w:rsidR="00100272" w:rsidRPr="00892225" w:rsidRDefault="00100272" w:rsidP="00632861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attach</w:t>
            </w:r>
          </w:p>
        </w:tc>
        <w:tc>
          <w:tcPr>
            <w:tcW w:w="4896" w:type="dxa"/>
          </w:tcPr>
          <w:p w14:paraId="7F330263" w14:textId="77777777" w:rsidR="00100272" w:rsidRPr="00892225" w:rsidRDefault="00100272" w:rsidP="006F218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attach</w:t>
            </w:r>
          </w:p>
        </w:tc>
        <w:tc>
          <w:tcPr>
            <w:tcW w:w="5024" w:type="dxa"/>
          </w:tcPr>
          <w:p w14:paraId="62EF7A83" w14:textId="77777777" w:rsidR="00100272" w:rsidRPr="00892225" w:rsidRDefault="00100272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attach</w:t>
            </w:r>
          </w:p>
        </w:tc>
      </w:tr>
      <w:tr w:rsidR="007865C0" w:rsidRPr="00892225" w14:paraId="170E6F57" w14:textId="77777777" w:rsidTr="00892225">
        <w:trPr>
          <w:trHeight w:val="411"/>
        </w:trPr>
        <w:tc>
          <w:tcPr>
            <w:tcW w:w="3403" w:type="dxa"/>
            <w:shd w:val="clear" w:color="auto" w:fill="808080" w:themeFill="background1" w:themeFillShade="80"/>
          </w:tcPr>
          <w:p w14:paraId="4AF9B2FA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Examples</w:t>
            </w:r>
          </w:p>
        </w:tc>
        <w:tc>
          <w:tcPr>
            <w:tcW w:w="4252" w:type="dxa"/>
          </w:tcPr>
          <w:p w14:paraId="6853ED9F" w14:textId="77777777" w:rsidR="007865C0" w:rsidRPr="00892225" w:rsidRDefault="007865C0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Stationery, Prisoner Clothing, Prisoner Footwear, Steel, Corporate </w:t>
            </w:r>
            <w:proofErr w:type="spellStart"/>
            <w:r w:rsidRPr="00892225">
              <w:rPr>
                <w:sz w:val="20"/>
                <w:szCs w:val="20"/>
              </w:rPr>
              <w:t>Eyecare</w:t>
            </w:r>
            <w:proofErr w:type="spellEnd"/>
            <w:r w:rsidRPr="00892225">
              <w:rPr>
                <w:sz w:val="20"/>
                <w:szCs w:val="20"/>
              </w:rPr>
              <w:t>.</w:t>
            </w:r>
          </w:p>
        </w:tc>
        <w:tc>
          <w:tcPr>
            <w:tcW w:w="3609" w:type="dxa"/>
          </w:tcPr>
          <w:p w14:paraId="76CFCD91" w14:textId="77777777" w:rsidR="007865C0" w:rsidRPr="00892225" w:rsidRDefault="007865C0" w:rsidP="00632861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Locks, Social Work, Payroll, </w:t>
            </w:r>
          </w:p>
        </w:tc>
        <w:tc>
          <w:tcPr>
            <w:tcW w:w="4896" w:type="dxa"/>
          </w:tcPr>
          <w:p w14:paraId="1D0E2798" w14:textId="77777777" w:rsidR="007865C0" w:rsidRPr="00892225" w:rsidRDefault="007865C0" w:rsidP="006F218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Main</w:t>
            </w:r>
            <w:r w:rsidR="00632861" w:rsidRPr="00892225">
              <w:rPr>
                <w:sz w:val="20"/>
                <w:szCs w:val="20"/>
              </w:rPr>
              <w:t>tenance of lifts</w:t>
            </w:r>
          </w:p>
        </w:tc>
        <w:tc>
          <w:tcPr>
            <w:tcW w:w="5024" w:type="dxa"/>
          </w:tcPr>
          <w:p w14:paraId="4311A5B2" w14:textId="77777777" w:rsidR="007865C0" w:rsidRPr="00892225" w:rsidRDefault="007865C0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Uplift of Waste, Addictions Testing, Janitorial Products, Fitness Equipment, Furniture.</w:t>
            </w:r>
          </w:p>
        </w:tc>
      </w:tr>
      <w:tr w:rsidR="007865C0" w:rsidRPr="00892225" w14:paraId="2784B302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1FD20FA2" w14:textId="77777777" w:rsidR="007865C0" w:rsidRPr="00892225" w:rsidRDefault="007865C0" w:rsidP="004A719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Anticipated Number of Contracts</w:t>
            </w:r>
          </w:p>
        </w:tc>
        <w:tc>
          <w:tcPr>
            <w:tcW w:w="4252" w:type="dxa"/>
            <w:vAlign w:val="center"/>
          </w:tcPr>
          <w:p w14:paraId="58AE8813" w14:textId="77777777" w:rsidR="007865C0" w:rsidRPr="00892225" w:rsidRDefault="007865C0" w:rsidP="00B85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Align w:val="center"/>
          </w:tcPr>
          <w:p w14:paraId="3AA73305" w14:textId="77777777" w:rsidR="007865C0" w:rsidRPr="00892225" w:rsidRDefault="007865C0" w:rsidP="004973F0">
            <w:pPr>
              <w:tabs>
                <w:tab w:val="left" w:pos="16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96" w:type="dxa"/>
            <w:vAlign w:val="center"/>
          </w:tcPr>
          <w:p w14:paraId="3B5D12CB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7CA6D6A0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</w:p>
        </w:tc>
      </w:tr>
      <w:tr w:rsidR="007865C0" w:rsidRPr="00892225" w14:paraId="5CB6675F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28D4295F" w14:textId="77777777" w:rsidR="007865C0" w:rsidRPr="00892225" w:rsidRDefault="007865C0" w:rsidP="00197AC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Anticipated time spent on contracts</w:t>
            </w:r>
          </w:p>
        </w:tc>
        <w:tc>
          <w:tcPr>
            <w:tcW w:w="4252" w:type="dxa"/>
            <w:vAlign w:val="center"/>
          </w:tcPr>
          <w:p w14:paraId="6E43EC96" w14:textId="77777777" w:rsidR="007865C0" w:rsidRPr="00892225" w:rsidRDefault="005D14AD" w:rsidP="00B858C7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e.g. </w:t>
            </w:r>
            <w:r w:rsidR="007865C0" w:rsidRPr="00892225">
              <w:rPr>
                <w:sz w:val="20"/>
                <w:szCs w:val="20"/>
              </w:rPr>
              <w:t>10%</w:t>
            </w:r>
          </w:p>
        </w:tc>
        <w:tc>
          <w:tcPr>
            <w:tcW w:w="3609" w:type="dxa"/>
            <w:vAlign w:val="center"/>
          </w:tcPr>
          <w:p w14:paraId="3ED836D8" w14:textId="77777777" w:rsidR="007865C0" w:rsidRPr="00892225" w:rsidRDefault="005D14AD" w:rsidP="004973F0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e.g. </w:t>
            </w:r>
            <w:r w:rsidR="007865C0" w:rsidRPr="00892225">
              <w:rPr>
                <w:sz w:val="20"/>
                <w:szCs w:val="20"/>
              </w:rPr>
              <w:t>40%</w:t>
            </w:r>
          </w:p>
        </w:tc>
        <w:tc>
          <w:tcPr>
            <w:tcW w:w="4896" w:type="dxa"/>
            <w:vAlign w:val="center"/>
          </w:tcPr>
          <w:p w14:paraId="07BCDC28" w14:textId="77777777" w:rsidR="007865C0" w:rsidRPr="00892225" w:rsidRDefault="005D14AD" w:rsidP="004973F0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e.g. </w:t>
            </w:r>
            <w:r w:rsidR="007865C0" w:rsidRPr="00892225">
              <w:rPr>
                <w:sz w:val="20"/>
                <w:szCs w:val="20"/>
              </w:rPr>
              <w:t>30%</w:t>
            </w:r>
          </w:p>
        </w:tc>
        <w:tc>
          <w:tcPr>
            <w:tcW w:w="5024" w:type="dxa"/>
            <w:vAlign w:val="center"/>
          </w:tcPr>
          <w:p w14:paraId="73569C48" w14:textId="77777777" w:rsidR="007865C0" w:rsidRPr="00892225" w:rsidRDefault="005D14AD" w:rsidP="004973F0">
            <w:pPr>
              <w:jc w:val="center"/>
              <w:rPr>
                <w:sz w:val="20"/>
                <w:szCs w:val="20"/>
              </w:rPr>
            </w:pPr>
            <w:proofErr w:type="spellStart"/>
            <w:r w:rsidRPr="00892225">
              <w:rPr>
                <w:sz w:val="20"/>
                <w:szCs w:val="20"/>
              </w:rPr>
              <w:t>e.g.</w:t>
            </w:r>
            <w:r w:rsidR="007865C0" w:rsidRPr="00892225">
              <w:rPr>
                <w:sz w:val="20"/>
                <w:szCs w:val="20"/>
              </w:rPr>
              <w:t>20</w:t>
            </w:r>
            <w:proofErr w:type="spellEnd"/>
            <w:r w:rsidR="007865C0" w:rsidRPr="00892225">
              <w:rPr>
                <w:sz w:val="20"/>
                <w:szCs w:val="20"/>
              </w:rPr>
              <w:t>%</w:t>
            </w:r>
          </w:p>
        </w:tc>
      </w:tr>
      <w:tr w:rsidR="007865C0" w:rsidRPr="00892225" w14:paraId="3553B117" w14:textId="77777777" w:rsidTr="00892225">
        <w:trPr>
          <w:trHeight w:val="1342"/>
        </w:trPr>
        <w:tc>
          <w:tcPr>
            <w:tcW w:w="3403" w:type="dxa"/>
            <w:shd w:val="clear" w:color="auto" w:fill="808080" w:themeFill="background1" w:themeFillShade="80"/>
          </w:tcPr>
          <w:p w14:paraId="5CA89308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Consider</w:t>
            </w:r>
          </w:p>
        </w:tc>
        <w:tc>
          <w:tcPr>
            <w:tcW w:w="4252" w:type="dxa"/>
          </w:tcPr>
          <w:p w14:paraId="4A1D8CD9" w14:textId="77777777" w:rsidR="007865C0" w:rsidRPr="00892225" w:rsidRDefault="007865C0" w:rsidP="00197ACF">
            <w:pPr>
              <w:pStyle w:val="ListParagraph"/>
              <w:ind w:left="22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Using collaborative contracts/frameworks (e.g. SG, GPS, </w:t>
            </w:r>
            <w:proofErr w:type="spellStart"/>
            <w:r w:rsidRPr="00892225">
              <w:rPr>
                <w:sz w:val="20"/>
                <w:szCs w:val="20"/>
              </w:rPr>
              <w:t>APUC</w:t>
            </w:r>
            <w:proofErr w:type="spellEnd"/>
            <w:r w:rsidRPr="00892225">
              <w:rPr>
                <w:sz w:val="20"/>
                <w:szCs w:val="20"/>
              </w:rPr>
              <w:t>)</w:t>
            </w:r>
          </w:p>
          <w:p w14:paraId="6AB12CBB" w14:textId="77777777" w:rsidR="007865C0" w:rsidRPr="00892225" w:rsidRDefault="007865C0" w:rsidP="00197ACF">
            <w:pPr>
              <w:pStyle w:val="ListParagraph"/>
              <w:ind w:left="22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Minimal/no stock holding;</w:t>
            </w:r>
          </w:p>
          <w:p w14:paraId="2A0E0236" w14:textId="77777777" w:rsidR="007865C0" w:rsidRPr="00892225" w:rsidRDefault="007865C0" w:rsidP="00197ACF">
            <w:pPr>
              <w:pStyle w:val="ListParagraph"/>
              <w:ind w:left="22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Controlling costs;</w:t>
            </w:r>
          </w:p>
          <w:p w14:paraId="7677AA41" w14:textId="77777777" w:rsidR="007865C0" w:rsidRPr="00892225" w:rsidRDefault="007865C0" w:rsidP="00197ACF">
            <w:pPr>
              <w:pStyle w:val="ListParagraph"/>
              <w:ind w:left="22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Reducing admin/process steps.</w:t>
            </w:r>
          </w:p>
        </w:tc>
        <w:tc>
          <w:tcPr>
            <w:tcW w:w="3609" w:type="dxa"/>
          </w:tcPr>
          <w:p w14:paraId="67CB7B3E" w14:textId="77777777" w:rsidR="007865C0" w:rsidRPr="00892225" w:rsidRDefault="007865C0" w:rsidP="00197ACF">
            <w:pPr>
              <w:pStyle w:val="ListParagraph"/>
              <w:ind w:left="318" w:hanging="318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On-Site Representation;</w:t>
            </w:r>
          </w:p>
          <w:p w14:paraId="0443EEA4" w14:textId="77777777" w:rsidR="007865C0" w:rsidRPr="00892225" w:rsidRDefault="007865C0" w:rsidP="00197ACF">
            <w:pPr>
              <w:pStyle w:val="ListParagraph"/>
              <w:ind w:left="318" w:hanging="318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Contingency Planning;</w:t>
            </w:r>
          </w:p>
          <w:p w14:paraId="3D26B962" w14:textId="77777777" w:rsidR="007865C0" w:rsidRPr="00892225" w:rsidRDefault="007865C0" w:rsidP="00197ACF">
            <w:pPr>
              <w:pStyle w:val="ListParagraph"/>
              <w:ind w:left="318" w:hanging="318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Integrated Systems.</w:t>
            </w:r>
          </w:p>
          <w:p w14:paraId="11A2BA19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</w:tcPr>
          <w:p w14:paraId="2ACA0E3A" w14:textId="77777777" w:rsidR="007865C0" w:rsidRPr="00892225" w:rsidRDefault="007865C0" w:rsidP="00197ACF">
            <w:pPr>
              <w:pStyle w:val="ListParagraph"/>
              <w:ind w:left="408" w:hanging="439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Developing new suppliers;</w:t>
            </w:r>
          </w:p>
          <w:p w14:paraId="249082F1" w14:textId="77777777" w:rsidR="007865C0" w:rsidRPr="00892225" w:rsidRDefault="007865C0" w:rsidP="00197ACF">
            <w:pPr>
              <w:pStyle w:val="ListParagraph"/>
              <w:ind w:left="408" w:hanging="439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Buffer stocks for additional security;</w:t>
            </w:r>
          </w:p>
          <w:p w14:paraId="56FC100C" w14:textId="77777777" w:rsidR="007865C0" w:rsidRPr="00892225" w:rsidRDefault="007865C0" w:rsidP="00197ACF">
            <w:pPr>
              <w:pStyle w:val="ListParagraph"/>
              <w:ind w:left="408" w:hanging="439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Moving to generic specifications;</w:t>
            </w:r>
          </w:p>
          <w:p w14:paraId="1F00748D" w14:textId="77777777" w:rsidR="007865C0" w:rsidRPr="00892225" w:rsidRDefault="007865C0" w:rsidP="00197ACF">
            <w:pPr>
              <w:pStyle w:val="ListParagraph"/>
              <w:ind w:left="408" w:hanging="439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Managing the entire supply chain;</w:t>
            </w:r>
          </w:p>
          <w:p w14:paraId="6F84170B" w14:textId="77777777" w:rsidR="007865C0" w:rsidRPr="00892225" w:rsidRDefault="007865C0" w:rsidP="00197ACF">
            <w:pPr>
              <w:pStyle w:val="ListParagraph"/>
              <w:ind w:left="408" w:hanging="439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Contingency Planning.</w:t>
            </w:r>
          </w:p>
        </w:tc>
        <w:tc>
          <w:tcPr>
            <w:tcW w:w="5024" w:type="dxa"/>
          </w:tcPr>
          <w:p w14:paraId="3974E853" w14:textId="77777777" w:rsidR="007865C0" w:rsidRPr="00892225" w:rsidRDefault="007865C0" w:rsidP="00197ACF">
            <w:pPr>
              <w:pStyle w:val="ListParagraph"/>
              <w:ind w:left="369" w:hanging="315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Reducing number of orders;</w:t>
            </w:r>
          </w:p>
          <w:p w14:paraId="55017E36" w14:textId="77777777" w:rsidR="007865C0" w:rsidRPr="00892225" w:rsidRDefault="007865C0" w:rsidP="00197ACF">
            <w:pPr>
              <w:pStyle w:val="ListParagraph"/>
              <w:ind w:left="369" w:hanging="315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Decreasing unit price.</w:t>
            </w:r>
          </w:p>
        </w:tc>
      </w:tr>
      <w:tr w:rsidR="007865C0" w:rsidRPr="00892225" w14:paraId="13F4358C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66BD802B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Allocated Contract Manager (Yes/No)</w:t>
            </w:r>
          </w:p>
        </w:tc>
        <w:tc>
          <w:tcPr>
            <w:tcW w:w="4252" w:type="dxa"/>
            <w:vAlign w:val="center"/>
          </w:tcPr>
          <w:p w14:paraId="0EEAD009" w14:textId="77777777" w:rsidR="007865C0" w:rsidRPr="00892225" w:rsidRDefault="007865C0" w:rsidP="00B85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Align w:val="center"/>
          </w:tcPr>
          <w:p w14:paraId="613B97A6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6" w:type="dxa"/>
            <w:vAlign w:val="center"/>
          </w:tcPr>
          <w:p w14:paraId="4635A5DA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3288147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</w:p>
        </w:tc>
      </w:tr>
      <w:tr w:rsidR="007865C0" w:rsidRPr="00892225" w14:paraId="47A45F80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1AB6EA8B" w14:textId="77777777" w:rsidR="007865C0" w:rsidRPr="00892225" w:rsidRDefault="007865C0" w:rsidP="00555A0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Supplier Relationship Management</w:t>
            </w:r>
          </w:p>
        </w:tc>
        <w:tc>
          <w:tcPr>
            <w:tcW w:w="4252" w:type="dxa"/>
            <w:vAlign w:val="center"/>
          </w:tcPr>
          <w:p w14:paraId="76509030" w14:textId="77777777" w:rsidR="007865C0" w:rsidRPr="00892225" w:rsidRDefault="007865C0" w:rsidP="00B858C7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No</w:t>
            </w:r>
          </w:p>
        </w:tc>
        <w:tc>
          <w:tcPr>
            <w:tcW w:w="3609" w:type="dxa"/>
            <w:vAlign w:val="center"/>
          </w:tcPr>
          <w:p w14:paraId="0BB87C66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Yes</w:t>
            </w:r>
          </w:p>
        </w:tc>
        <w:tc>
          <w:tcPr>
            <w:tcW w:w="4896" w:type="dxa"/>
            <w:vAlign w:val="center"/>
          </w:tcPr>
          <w:p w14:paraId="3F890B61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Yes</w:t>
            </w:r>
          </w:p>
        </w:tc>
        <w:tc>
          <w:tcPr>
            <w:tcW w:w="5024" w:type="dxa"/>
            <w:vAlign w:val="center"/>
          </w:tcPr>
          <w:p w14:paraId="0786562B" w14:textId="77777777" w:rsidR="007865C0" w:rsidRPr="00892225" w:rsidRDefault="007865C0" w:rsidP="004973F0">
            <w:pPr>
              <w:jc w:val="center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No</w:t>
            </w:r>
          </w:p>
        </w:tc>
      </w:tr>
      <w:tr w:rsidR="007865C0" w:rsidRPr="00892225" w14:paraId="38F62A3C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07F08DF7" w14:textId="77777777" w:rsidR="007865C0" w:rsidRPr="00892225" w:rsidRDefault="00100272" w:rsidP="00555A0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Performance Review Meetings</w:t>
            </w:r>
          </w:p>
        </w:tc>
        <w:tc>
          <w:tcPr>
            <w:tcW w:w="4252" w:type="dxa"/>
          </w:tcPr>
          <w:p w14:paraId="3282F5C1" w14:textId="77777777" w:rsidR="007865C0" w:rsidRPr="00892225" w:rsidRDefault="007865C0" w:rsidP="00B858C7">
            <w:pPr>
              <w:ind w:left="274" w:hanging="27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ensure the invitation and standing agenda is driven by spend, performance, issues, risks, actions and includes examples of best practice.</w:t>
            </w:r>
          </w:p>
        </w:tc>
        <w:tc>
          <w:tcPr>
            <w:tcW w:w="8505" w:type="dxa"/>
            <w:gridSpan w:val="2"/>
          </w:tcPr>
          <w:p w14:paraId="651AA95B" w14:textId="38419BE0" w:rsidR="007865C0" w:rsidRPr="00892225" w:rsidRDefault="007865C0" w:rsidP="00D74A92">
            <w:p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 xml:space="preserve">introduce the Supplier to the </w:t>
            </w:r>
            <w:r w:rsidR="008E457A">
              <w:rPr>
                <w:sz w:val="20"/>
                <w:szCs w:val="20"/>
              </w:rPr>
              <w:t>v</w:t>
            </w:r>
            <w:r w:rsidRPr="00892225">
              <w:rPr>
                <w:sz w:val="20"/>
                <w:szCs w:val="20"/>
              </w:rPr>
              <w:t>ision of Supplier Relationship Management and agree a Supplier Relationship Management strategy shortly after contract award;</w:t>
            </w:r>
          </w:p>
          <w:p w14:paraId="4ADFE365" w14:textId="77777777" w:rsidR="007865C0" w:rsidRPr="00892225" w:rsidRDefault="007865C0" w:rsidP="00D74A92">
            <w:p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 xml:space="preserve">gather the outputs from contract management to review under the five Supplier Relationship Management areas in line with the Seven C’s using the </w:t>
            </w:r>
            <w:hyperlink r:id="rId9" w:history="1">
              <w:r w:rsidRPr="00892225">
                <w:rPr>
                  <w:rStyle w:val="Hyperlink"/>
                  <w:sz w:val="20"/>
                  <w:szCs w:val="20"/>
                </w:rPr>
                <w:t>aid memoir</w:t>
              </w:r>
            </w:hyperlink>
            <w:r w:rsidRPr="00892225">
              <w:rPr>
                <w:sz w:val="20"/>
                <w:szCs w:val="20"/>
              </w:rPr>
              <w:t xml:space="preserve"> provided; </w:t>
            </w:r>
          </w:p>
          <w:p w14:paraId="0A2383A5" w14:textId="77777777" w:rsidR="007865C0" w:rsidRPr="00892225" w:rsidRDefault="007865C0" w:rsidP="00D74A92">
            <w:p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engage a key Customer if required;</w:t>
            </w:r>
          </w:p>
          <w:p w14:paraId="0F7DFE47" w14:textId="77777777" w:rsidR="007865C0" w:rsidRPr="00892225" w:rsidRDefault="007865C0" w:rsidP="00D74A92">
            <w:p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agree way forward through minutes and actions that deliver continuous improvement.</w:t>
            </w:r>
          </w:p>
          <w:p w14:paraId="6F909925" w14:textId="77777777" w:rsidR="007865C0" w:rsidRPr="00892225" w:rsidRDefault="007865C0" w:rsidP="00D74A92">
            <w:p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engage a key Customer/Team  if required;</w:t>
            </w:r>
          </w:p>
          <w:p w14:paraId="195018DB" w14:textId="77777777" w:rsidR="007865C0" w:rsidRPr="00892225" w:rsidRDefault="007865C0" w:rsidP="00AC57B1">
            <w:pPr>
              <w:pStyle w:val="ListParagraph"/>
              <w:numPr>
                <w:ilvl w:val="0"/>
                <w:numId w:val="3"/>
              </w:num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Agree a standing agenda;</w:t>
            </w:r>
          </w:p>
          <w:p w14:paraId="30D63924" w14:textId="77777777" w:rsidR="007865C0" w:rsidRPr="00892225" w:rsidRDefault="007865C0" w:rsidP="00D74A92">
            <w:pPr>
              <w:ind w:left="275" w:hanging="28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agree way forward through minutes and actions that deliver continuous improvement.</w:t>
            </w:r>
          </w:p>
        </w:tc>
        <w:tc>
          <w:tcPr>
            <w:tcW w:w="5024" w:type="dxa"/>
          </w:tcPr>
          <w:p w14:paraId="255ADAAB" w14:textId="77777777" w:rsidR="007865C0" w:rsidRPr="00892225" w:rsidRDefault="007865C0" w:rsidP="00AC57B1">
            <w:pPr>
              <w:ind w:left="275" w:hanging="275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encourage internal customer and supplier to host the meetings to move the meetings around and get more engagement</w:t>
            </w:r>
          </w:p>
          <w:p w14:paraId="29839BA1" w14:textId="77777777" w:rsidR="007865C0" w:rsidRPr="00892225" w:rsidRDefault="007865C0" w:rsidP="00AC57B1">
            <w:pPr>
              <w:ind w:left="275" w:hanging="275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•</w:t>
            </w:r>
            <w:r w:rsidRPr="00892225">
              <w:rPr>
                <w:sz w:val="20"/>
                <w:szCs w:val="20"/>
              </w:rPr>
              <w:tab/>
              <w:t>ensure the invitation and standing agenda is driven by spend, performance, issues, risks, actions and includes examples of best practice.</w:t>
            </w:r>
          </w:p>
        </w:tc>
      </w:tr>
      <w:tr w:rsidR="007865C0" w:rsidRPr="00892225" w14:paraId="47BB5B3D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56BF02DB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Suggested Management Information Frequency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DD7B33" w14:textId="77777777" w:rsidR="007865C0" w:rsidRPr="00892225" w:rsidRDefault="007865C0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Annual</w:t>
            </w:r>
          </w:p>
        </w:tc>
        <w:tc>
          <w:tcPr>
            <w:tcW w:w="3609" w:type="dxa"/>
          </w:tcPr>
          <w:p w14:paraId="63CC4617" w14:textId="77777777" w:rsidR="007865C0" w:rsidRPr="00892225" w:rsidRDefault="007865C0" w:rsidP="006F218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Monthly</w:t>
            </w:r>
          </w:p>
        </w:tc>
        <w:tc>
          <w:tcPr>
            <w:tcW w:w="4896" w:type="dxa"/>
          </w:tcPr>
          <w:p w14:paraId="2EA9D638" w14:textId="77777777" w:rsidR="007865C0" w:rsidRPr="00892225" w:rsidRDefault="007865C0" w:rsidP="006F218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Quarterly or Annual</w:t>
            </w:r>
          </w:p>
        </w:tc>
        <w:tc>
          <w:tcPr>
            <w:tcW w:w="5024" w:type="dxa"/>
          </w:tcPr>
          <w:p w14:paraId="448BF178" w14:textId="77777777" w:rsidR="007865C0" w:rsidRPr="00892225" w:rsidRDefault="007865C0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Annual</w:t>
            </w:r>
          </w:p>
        </w:tc>
      </w:tr>
      <w:tr w:rsidR="007865C0" w:rsidRPr="00892225" w14:paraId="4F03469E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79A81A68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Tracking Spend and Performance</w:t>
            </w:r>
          </w:p>
        </w:tc>
        <w:tc>
          <w:tcPr>
            <w:tcW w:w="4252" w:type="dxa"/>
          </w:tcPr>
          <w:p w14:paraId="410A1386" w14:textId="77777777" w:rsidR="007865C0" w:rsidRPr="00892225" w:rsidRDefault="007865C0" w:rsidP="00B858C7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Customer Survey – as and when</w:t>
            </w:r>
          </w:p>
          <w:p w14:paraId="3A9BCC61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  <w:p w14:paraId="05FC70C5" w14:textId="77777777" w:rsidR="007865C0" w:rsidRPr="00892225" w:rsidRDefault="007865C0" w:rsidP="00B858C7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 xml:space="preserve">Delivery </w:t>
            </w:r>
          </w:p>
          <w:p w14:paraId="407EECA4" w14:textId="77777777" w:rsidR="007865C0" w:rsidRPr="00892225" w:rsidRDefault="007865C0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Were the right goods / services delivered at the right time?</w:t>
            </w:r>
          </w:p>
          <w:p w14:paraId="60491675" w14:textId="77777777" w:rsidR="007865C0" w:rsidRPr="00892225" w:rsidRDefault="007865C0" w:rsidP="00B858C7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 xml:space="preserve">Quality </w:t>
            </w:r>
          </w:p>
          <w:p w14:paraId="6EEF8043" w14:textId="77777777" w:rsidR="007865C0" w:rsidRPr="00892225" w:rsidRDefault="007865C0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Did the goods / services meet the Customer needs?</w:t>
            </w:r>
          </w:p>
          <w:p w14:paraId="75186A8B" w14:textId="77777777" w:rsidR="007865C0" w:rsidRPr="00892225" w:rsidRDefault="007865C0" w:rsidP="00B858C7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Cost</w:t>
            </w:r>
          </w:p>
          <w:p w14:paraId="44BC5F64" w14:textId="77777777" w:rsidR="007865C0" w:rsidRPr="00892225" w:rsidRDefault="007865C0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Were the goods / services delivered at the right cost?</w:t>
            </w:r>
          </w:p>
        </w:tc>
        <w:tc>
          <w:tcPr>
            <w:tcW w:w="3609" w:type="dxa"/>
          </w:tcPr>
          <w:p w14:paraId="09A453C7" w14:textId="77777777" w:rsidR="007865C0" w:rsidRPr="00892225" w:rsidRDefault="007865C0" w:rsidP="006F2187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 xml:space="preserve">Contractual </w:t>
            </w:r>
            <w:proofErr w:type="spellStart"/>
            <w:r w:rsidRPr="00892225">
              <w:rPr>
                <w:b/>
                <w:sz w:val="20"/>
                <w:szCs w:val="20"/>
              </w:rPr>
              <w:t>KPI</w:t>
            </w:r>
            <w:proofErr w:type="spellEnd"/>
            <w:r w:rsidRPr="00892225">
              <w:rPr>
                <w:b/>
                <w:sz w:val="20"/>
                <w:szCs w:val="20"/>
              </w:rPr>
              <w:t xml:space="preserve"> reporting by Supplier &amp;/or Balanced Scorecard.</w:t>
            </w:r>
          </w:p>
          <w:p w14:paraId="002EA19C" w14:textId="77777777" w:rsidR="00197ACF" w:rsidRPr="00892225" w:rsidRDefault="00197ACF" w:rsidP="006F2187">
            <w:pPr>
              <w:rPr>
                <w:b/>
                <w:sz w:val="20"/>
                <w:szCs w:val="20"/>
              </w:rPr>
            </w:pPr>
          </w:p>
          <w:p w14:paraId="17FA8683" w14:textId="77777777" w:rsidR="007865C0" w:rsidRPr="00892225" w:rsidRDefault="007865C0" w:rsidP="00197ACF">
            <w:pPr>
              <w:pStyle w:val="ListParagraph"/>
              <w:ind w:left="275" w:hanging="275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Specific to Contract</w:t>
            </w:r>
          </w:p>
        </w:tc>
        <w:tc>
          <w:tcPr>
            <w:tcW w:w="4896" w:type="dxa"/>
          </w:tcPr>
          <w:p w14:paraId="010702D9" w14:textId="77777777" w:rsidR="007865C0" w:rsidRPr="00892225" w:rsidRDefault="007865C0" w:rsidP="006F2187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t>Balanced Scorecard/Customer Survey (Quarterly or Bi-annually)</w:t>
            </w:r>
          </w:p>
          <w:p w14:paraId="0504E39B" w14:textId="77777777" w:rsidR="007865C0" w:rsidRPr="00892225" w:rsidRDefault="007865C0" w:rsidP="00197ACF">
            <w:pPr>
              <w:pStyle w:val="ListParagraph"/>
              <w:ind w:left="0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working with the internal customer to understand the baseline spend and performance – this may have been done during the procurement;</w:t>
            </w:r>
          </w:p>
          <w:p w14:paraId="279C73C1" w14:textId="77777777" w:rsidR="00197ACF" w:rsidRPr="00892225" w:rsidRDefault="00197ACF" w:rsidP="00197ACF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8117E5B" w14:textId="77777777" w:rsidR="007865C0" w:rsidRPr="00892225" w:rsidRDefault="007865C0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agreeing questions and issuing customer survey</w:t>
            </w:r>
          </w:p>
          <w:p w14:paraId="12294184" w14:textId="77777777" w:rsidR="007865C0" w:rsidRPr="00892225" w:rsidRDefault="007865C0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receiving </w:t>
            </w:r>
            <w:r w:rsidR="00197ACF" w:rsidRPr="00892225">
              <w:rPr>
                <w:sz w:val="20"/>
                <w:szCs w:val="20"/>
              </w:rPr>
              <w:t xml:space="preserve">the results from the survey and </w:t>
            </w:r>
            <w:r w:rsidRPr="00892225">
              <w:rPr>
                <w:sz w:val="20"/>
                <w:szCs w:val="20"/>
              </w:rPr>
              <w:t>preparing a report on spend and performance along with drafting risks and actions for review and verification at the Customer and Contractor Meetings;</w:t>
            </w:r>
          </w:p>
          <w:p w14:paraId="53C315A8" w14:textId="77777777" w:rsidR="00197ACF" w:rsidRPr="00892225" w:rsidRDefault="00197ACF" w:rsidP="00197ACF">
            <w:pPr>
              <w:rPr>
                <w:sz w:val="20"/>
                <w:szCs w:val="20"/>
              </w:rPr>
            </w:pPr>
          </w:p>
          <w:p w14:paraId="7E22AA6A" w14:textId="77777777" w:rsidR="007865C0" w:rsidRPr="00892225" w:rsidRDefault="007865C0" w:rsidP="00197ACF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adding the resulting information to your master spend and performance tracking systems.</w:t>
            </w:r>
          </w:p>
        </w:tc>
        <w:tc>
          <w:tcPr>
            <w:tcW w:w="5024" w:type="dxa"/>
          </w:tcPr>
          <w:p w14:paraId="12F0A34A" w14:textId="77777777" w:rsidR="007865C0" w:rsidRPr="00892225" w:rsidRDefault="007865C0">
            <w:pPr>
              <w:rPr>
                <w:b/>
                <w:sz w:val="20"/>
                <w:szCs w:val="20"/>
              </w:rPr>
            </w:pPr>
            <w:r w:rsidRPr="00892225">
              <w:rPr>
                <w:b/>
                <w:sz w:val="20"/>
                <w:szCs w:val="20"/>
              </w:rPr>
              <w:lastRenderedPageBreak/>
              <w:t>Customer Survey (Annual)</w:t>
            </w:r>
          </w:p>
          <w:p w14:paraId="34B50E3F" w14:textId="77777777" w:rsidR="0091432D" w:rsidRPr="00892225" w:rsidRDefault="0091432D">
            <w:pPr>
              <w:rPr>
                <w:b/>
                <w:sz w:val="20"/>
                <w:szCs w:val="20"/>
              </w:rPr>
            </w:pPr>
          </w:p>
          <w:p w14:paraId="20F061DA" w14:textId="77777777" w:rsidR="007865C0" w:rsidRPr="00892225" w:rsidRDefault="007865C0" w:rsidP="00197ACF">
            <w:pPr>
              <w:ind w:left="3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working with the internal customer to understand the baseline spend and performance – this may have been done during the procurement;</w:t>
            </w:r>
          </w:p>
          <w:p w14:paraId="40E6AF4D" w14:textId="77777777" w:rsidR="00197ACF" w:rsidRPr="00892225" w:rsidRDefault="00197ACF" w:rsidP="00197ACF">
            <w:pPr>
              <w:ind w:left="34"/>
              <w:rPr>
                <w:sz w:val="20"/>
                <w:szCs w:val="20"/>
              </w:rPr>
            </w:pPr>
          </w:p>
          <w:p w14:paraId="6CE00545" w14:textId="77777777" w:rsidR="007865C0" w:rsidRPr="00892225" w:rsidRDefault="007865C0" w:rsidP="00197ACF">
            <w:pPr>
              <w:ind w:left="3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agreeing questions and issuing customer survey</w:t>
            </w:r>
          </w:p>
          <w:p w14:paraId="69372246" w14:textId="77777777" w:rsidR="007865C0" w:rsidRPr="00892225" w:rsidRDefault="007865C0" w:rsidP="00197ACF">
            <w:pPr>
              <w:ind w:left="3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receiving the results from the survey and preparing a report on spend and performance along with drafting risks and actions for review and verification at the Customer and Contractor Meetings;</w:t>
            </w:r>
          </w:p>
          <w:p w14:paraId="032ABB2A" w14:textId="77777777" w:rsidR="00197ACF" w:rsidRPr="00892225" w:rsidRDefault="00197ACF" w:rsidP="00197ACF">
            <w:pPr>
              <w:ind w:left="34"/>
              <w:rPr>
                <w:sz w:val="20"/>
                <w:szCs w:val="20"/>
              </w:rPr>
            </w:pPr>
          </w:p>
          <w:p w14:paraId="195AE4AB" w14:textId="77777777" w:rsidR="007865C0" w:rsidRPr="00892225" w:rsidRDefault="007865C0" w:rsidP="00197ACF">
            <w:pPr>
              <w:ind w:left="34"/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adding the resulting information to your master spend and performance tracking systems.</w:t>
            </w:r>
          </w:p>
        </w:tc>
      </w:tr>
      <w:tr w:rsidR="007865C0" w:rsidRPr="00892225" w14:paraId="7DA8C356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4BB90BB7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Annual Financial Appraisal </w:t>
            </w:r>
          </w:p>
        </w:tc>
        <w:tc>
          <w:tcPr>
            <w:tcW w:w="4252" w:type="dxa"/>
          </w:tcPr>
          <w:p w14:paraId="1503500A" w14:textId="77777777" w:rsidR="007865C0" w:rsidRPr="00892225" w:rsidRDefault="007865C0" w:rsidP="00B858C7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No</w:t>
            </w:r>
          </w:p>
        </w:tc>
        <w:tc>
          <w:tcPr>
            <w:tcW w:w="3609" w:type="dxa"/>
          </w:tcPr>
          <w:p w14:paraId="3B2239F8" w14:textId="77777777" w:rsidR="00ED5751" w:rsidRPr="00892225" w:rsidRDefault="00ED5751" w:rsidP="00ED5751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Yes – Full report. E.g. </w:t>
            </w:r>
            <w:proofErr w:type="spellStart"/>
            <w:r w:rsidRPr="00892225">
              <w:rPr>
                <w:sz w:val="20"/>
                <w:szCs w:val="20"/>
              </w:rPr>
              <w:t>Onesource</w:t>
            </w:r>
            <w:proofErr w:type="spellEnd"/>
            <w:r w:rsidRPr="00892225">
              <w:rPr>
                <w:sz w:val="20"/>
                <w:szCs w:val="20"/>
              </w:rPr>
              <w:t>.</w:t>
            </w:r>
          </w:p>
          <w:p w14:paraId="2B16AAA0" w14:textId="77777777" w:rsidR="007865C0" w:rsidRPr="00892225" w:rsidRDefault="00ED5751" w:rsidP="00ED5751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 Mirror tender checks</w:t>
            </w:r>
          </w:p>
        </w:tc>
        <w:tc>
          <w:tcPr>
            <w:tcW w:w="4896" w:type="dxa"/>
          </w:tcPr>
          <w:p w14:paraId="1F9C7333" w14:textId="77777777" w:rsidR="00ED5751" w:rsidRPr="00892225" w:rsidRDefault="00ED5751" w:rsidP="00B519C5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Yes – Full report. E.g. </w:t>
            </w:r>
            <w:proofErr w:type="spellStart"/>
            <w:r w:rsidRPr="00892225">
              <w:rPr>
                <w:sz w:val="20"/>
                <w:szCs w:val="20"/>
              </w:rPr>
              <w:t>Onesource</w:t>
            </w:r>
            <w:proofErr w:type="spellEnd"/>
            <w:r w:rsidRPr="00892225">
              <w:rPr>
                <w:sz w:val="20"/>
                <w:szCs w:val="20"/>
              </w:rPr>
              <w:t>.</w:t>
            </w:r>
          </w:p>
          <w:p w14:paraId="4FFC3269" w14:textId="77777777" w:rsidR="007865C0" w:rsidRPr="00892225" w:rsidRDefault="007865C0" w:rsidP="00B519C5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 xml:space="preserve"> Mirror t</w:t>
            </w:r>
            <w:r w:rsidR="00ED5751" w:rsidRPr="00892225">
              <w:rPr>
                <w:sz w:val="20"/>
                <w:szCs w:val="20"/>
              </w:rPr>
              <w:t>ender checks</w:t>
            </w:r>
          </w:p>
        </w:tc>
        <w:tc>
          <w:tcPr>
            <w:tcW w:w="5024" w:type="dxa"/>
          </w:tcPr>
          <w:p w14:paraId="1926B98B" w14:textId="77777777" w:rsidR="007865C0" w:rsidRPr="00892225" w:rsidRDefault="007865C0">
            <w:pPr>
              <w:rPr>
                <w:sz w:val="20"/>
                <w:szCs w:val="20"/>
              </w:rPr>
            </w:pPr>
            <w:r w:rsidRPr="00892225">
              <w:rPr>
                <w:sz w:val="20"/>
                <w:szCs w:val="20"/>
              </w:rPr>
              <w:t>At Extension Review Only – Basic Check</w:t>
            </w:r>
          </w:p>
        </w:tc>
      </w:tr>
      <w:tr w:rsidR="007865C0" w:rsidRPr="00892225" w14:paraId="08B97110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4E5AC323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Extension Review</w:t>
            </w:r>
          </w:p>
        </w:tc>
        <w:tc>
          <w:tcPr>
            <w:tcW w:w="4252" w:type="dxa"/>
          </w:tcPr>
          <w:p w14:paraId="0AFCEA2A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23AFF592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14:paraId="306CB13D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auto"/>
          </w:tcPr>
          <w:p w14:paraId="54D84AC6" w14:textId="77777777" w:rsidR="007865C0" w:rsidRPr="00892225" w:rsidRDefault="007865C0">
            <w:pPr>
              <w:rPr>
                <w:sz w:val="20"/>
                <w:szCs w:val="20"/>
              </w:rPr>
            </w:pPr>
          </w:p>
        </w:tc>
      </w:tr>
      <w:tr w:rsidR="007865C0" w:rsidRPr="00892225" w14:paraId="2DA44DA3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4D333234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Contract Amendment</w:t>
            </w:r>
          </w:p>
        </w:tc>
        <w:tc>
          <w:tcPr>
            <w:tcW w:w="4252" w:type="dxa"/>
          </w:tcPr>
          <w:p w14:paraId="4019C1FE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37340397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14:paraId="617A9B49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auto"/>
          </w:tcPr>
          <w:p w14:paraId="37A41AC8" w14:textId="77777777" w:rsidR="007865C0" w:rsidRPr="00892225" w:rsidRDefault="007865C0">
            <w:pPr>
              <w:rPr>
                <w:sz w:val="20"/>
                <w:szCs w:val="20"/>
              </w:rPr>
            </w:pPr>
          </w:p>
        </w:tc>
      </w:tr>
      <w:tr w:rsidR="007865C0" w:rsidRPr="00892225" w14:paraId="0A637B7F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13433E09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Customer Survey</w:t>
            </w:r>
          </w:p>
        </w:tc>
        <w:tc>
          <w:tcPr>
            <w:tcW w:w="4252" w:type="dxa"/>
          </w:tcPr>
          <w:p w14:paraId="15AF8E41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0AF102D2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14:paraId="5B05F666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auto"/>
          </w:tcPr>
          <w:p w14:paraId="0ECA852B" w14:textId="77777777" w:rsidR="007865C0" w:rsidRPr="00892225" w:rsidRDefault="007865C0">
            <w:pPr>
              <w:rPr>
                <w:sz w:val="20"/>
                <w:szCs w:val="20"/>
              </w:rPr>
            </w:pPr>
          </w:p>
        </w:tc>
      </w:tr>
      <w:tr w:rsidR="007865C0" w:rsidRPr="00892225" w14:paraId="6450EBCE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25856572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Customer Feedback Form</w:t>
            </w:r>
          </w:p>
        </w:tc>
        <w:tc>
          <w:tcPr>
            <w:tcW w:w="4252" w:type="dxa"/>
          </w:tcPr>
          <w:p w14:paraId="099183A2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2E73A0B0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14:paraId="24E85AAD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auto"/>
          </w:tcPr>
          <w:p w14:paraId="00EB776B" w14:textId="77777777" w:rsidR="007865C0" w:rsidRPr="00892225" w:rsidRDefault="007865C0">
            <w:pPr>
              <w:rPr>
                <w:sz w:val="20"/>
                <w:szCs w:val="20"/>
              </w:rPr>
            </w:pPr>
          </w:p>
        </w:tc>
      </w:tr>
      <w:tr w:rsidR="007865C0" w:rsidRPr="00892225" w14:paraId="19959FAF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0F7336ED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Management Information Reports</w:t>
            </w:r>
          </w:p>
        </w:tc>
        <w:tc>
          <w:tcPr>
            <w:tcW w:w="4252" w:type="dxa"/>
          </w:tcPr>
          <w:p w14:paraId="520ECF0E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1D2A2554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14:paraId="74E6C7CD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auto"/>
          </w:tcPr>
          <w:p w14:paraId="548BFDD4" w14:textId="77777777" w:rsidR="007865C0" w:rsidRPr="00892225" w:rsidRDefault="007865C0">
            <w:pPr>
              <w:rPr>
                <w:sz w:val="20"/>
                <w:szCs w:val="20"/>
              </w:rPr>
            </w:pPr>
          </w:p>
        </w:tc>
      </w:tr>
      <w:tr w:rsidR="007865C0" w:rsidRPr="00892225" w14:paraId="02ECA168" w14:textId="77777777" w:rsidTr="00892225">
        <w:tc>
          <w:tcPr>
            <w:tcW w:w="3403" w:type="dxa"/>
            <w:shd w:val="clear" w:color="auto" w:fill="808080" w:themeFill="background1" w:themeFillShade="80"/>
          </w:tcPr>
          <w:p w14:paraId="1C1BC51B" w14:textId="77777777" w:rsidR="007865C0" w:rsidRPr="00892225" w:rsidRDefault="007865C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92225">
              <w:rPr>
                <w:b/>
                <w:color w:val="FFFFFF" w:themeColor="background1"/>
                <w:sz w:val="20"/>
                <w:szCs w:val="20"/>
              </w:rPr>
              <w:t>Financial Appraisal</w:t>
            </w:r>
          </w:p>
        </w:tc>
        <w:tc>
          <w:tcPr>
            <w:tcW w:w="4252" w:type="dxa"/>
          </w:tcPr>
          <w:p w14:paraId="7065700D" w14:textId="77777777" w:rsidR="007865C0" w:rsidRPr="00892225" w:rsidRDefault="007865C0" w:rsidP="00B858C7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7E889B5B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shd w:val="clear" w:color="auto" w:fill="auto"/>
          </w:tcPr>
          <w:p w14:paraId="59BCDCFB" w14:textId="77777777" w:rsidR="007865C0" w:rsidRPr="00892225" w:rsidRDefault="007865C0" w:rsidP="006F2187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shd w:val="clear" w:color="auto" w:fill="auto"/>
          </w:tcPr>
          <w:p w14:paraId="3D766AD1" w14:textId="77777777" w:rsidR="007865C0" w:rsidRPr="00892225" w:rsidRDefault="007865C0">
            <w:pPr>
              <w:rPr>
                <w:sz w:val="20"/>
                <w:szCs w:val="20"/>
              </w:rPr>
            </w:pPr>
          </w:p>
        </w:tc>
      </w:tr>
    </w:tbl>
    <w:p w14:paraId="4AF8BF37" w14:textId="77777777" w:rsidR="006C00D8" w:rsidRDefault="006C00D8"/>
    <w:sectPr w:rsidR="006C00D8" w:rsidSect="00CB15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AE96A" w14:textId="77777777" w:rsidR="00ED5751" w:rsidRDefault="00ED5751" w:rsidP="006B64F3">
      <w:pPr>
        <w:spacing w:after="0" w:line="240" w:lineRule="auto"/>
      </w:pPr>
      <w:r>
        <w:separator/>
      </w:r>
    </w:p>
  </w:endnote>
  <w:endnote w:type="continuationSeparator" w:id="0">
    <w:p w14:paraId="05BAE99B" w14:textId="77777777" w:rsidR="00ED5751" w:rsidRDefault="00ED5751" w:rsidP="006B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7C7AC" w14:textId="77777777" w:rsidR="00ED5751" w:rsidRDefault="00ED5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ED80" w14:textId="77777777" w:rsidR="00ED5751" w:rsidRDefault="00ED5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2803" w14:textId="77777777" w:rsidR="00ED5751" w:rsidRDefault="00ED5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E17C" w14:textId="77777777" w:rsidR="00ED5751" w:rsidRDefault="00ED5751" w:rsidP="006B64F3">
      <w:pPr>
        <w:spacing w:after="0" w:line="240" w:lineRule="auto"/>
      </w:pPr>
      <w:r>
        <w:separator/>
      </w:r>
    </w:p>
  </w:footnote>
  <w:footnote w:type="continuationSeparator" w:id="0">
    <w:p w14:paraId="581E3A1B" w14:textId="77777777" w:rsidR="00ED5751" w:rsidRDefault="00ED5751" w:rsidP="006B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800F5" w14:textId="77777777" w:rsidR="00ED5751" w:rsidRDefault="00ED5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59BF" w14:textId="2F5BDF8B" w:rsidR="00ED5751" w:rsidRDefault="00ED5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F859" w14:textId="77777777" w:rsidR="00ED5751" w:rsidRDefault="00ED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05E"/>
    <w:multiLevelType w:val="hybridMultilevel"/>
    <w:tmpl w:val="BFC0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223"/>
    <w:multiLevelType w:val="hybridMultilevel"/>
    <w:tmpl w:val="624672B4"/>
    <w:lvl w:ilvl="0" w:tplc="F1284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22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6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EF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A2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81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4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42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8D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6E3071"/>
    <w:multiLevelType w:val="hybridMultilevel"/>
    <w:tmpl w:val="286C3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E001C"/>
    <w:multiLevelType w:val="hybridMultilevel"/>
    <w:tmpl w:val="C1E039B2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58A50547"/>
    <w:multiLevelType w:val="hybridMultilevel"/>
    <w:tmpl w:val="6C602CE8"/>
    <w:lvl w:ilvl="0" w:tplc="1DE07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C6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01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23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0A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68A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42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49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A8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5737E3"/>
    <w:multiLevelType w:val="hybridMultilevel"/>
    <w:tmpl w:val="6E261B72"/>
    <w:lvl w:ilvl="0" w:tplc="48AC7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85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06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04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46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E9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44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CA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8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CD7A19"/>
    <w:multiLevelType w:val="hybridMultilevel"/>
    <w:tmpl w:val="A3E4E978"/>
    <w:lvl w:ilvl="0" w:tplc="2E782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A6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C1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68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65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4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C8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EA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C6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D8"/>
    <w:rsid w:val="00006690"/>
    <w:rsid w:val="00036EC4"/>
    <w:rsid w:val="00045FC0"/>
    <w:rsid w:val="00052023"/>
    <w:rsid w:val="00053AE9"/>
    <w:rsid w:val="000B48BC"/>
    <w:rsid w:val="000C1295"/>
    <w:rsid w:val="00100272"/>
    <w:rsid w:val="001704EF"/>
    <w:rsid w:val="00197ACF"/>
    <w:rsid w:val="001A70CD"/>
    <w:rsid w:val="002222C8"/>
    <w:rsid w:val="00250BD3"/>
    <w:rsid w:val="0028626D"/>
    <w:rsid w:val="00296B87"/>
    <w:rsid w:val="002B677B"/>
    <w:rsid w:val="002E7EF8"/>
    <w:rsid w:val="002F41EC"/>
    <w:rsid w:val="00304067"/>
    <w:rsid w:val="0037663B"/>
    <w:rsid w:val="003D2704"/>
    <w:rsid w:val="003D5034"/>
    <w:rsid w:val="00441213"/>
    <w:rsid w:val="004532FA"/>
    <w:rsid w:val="004877E1"/>
    <w:rsid w:val="004973F0"/>
    <w:rsid w:val="004A0707"/>
    <w:rsid w:val="004A719F"/>
    <w:rsid w:val="004B5221"/>
    <w:rsid w:val="004F5B77"/>
    <w:rsid w:val="00555A09"/>
    <w:rsid w:val="005B41B1"/>
    <w:rsid w:val="005D14AD"/>
    <w:rsid w:val="005F0EC6"/>
    <w:rsid w:val="00632861"/>
    <w:rsid w:val="00640AD1"/>
    <w:rsid w:val="006B121B"/>
    <w:rsid w:val="006B3E29"/>
    <w:rsid w:val="006B64F3"/>
    <w:rsid w:val="006C00D8"/>
    <w:rsid w:val="006F2187"/>
    <w:rsid w:val="006F5385"/>
    <w:rsid w:val="00710E99"/>
    <w:rsid w:val="00750C45"/>
    <w:rsid w:val="007865C0"/>
    <w:rsid w:val="007874C2"/>
    <w:rsid w:val="007956D6"/>
    <w:rsid w:val="007F2B78"/>
    <w:rsid w:val="00867E25"/>
    <w:rsid w:val="00892225"/>
    <w:rsid w:val="008E457A"/>
    <w:rsid w:val="0091432D"/>
    <w:rsid w:val="00992EFF"/>
    <w:rsid w:val="009A6948"/>
    <w:rsid w:val="009E5561"/>
    <w:rsid w:val="00AC57B1"/>
    <w:rsid w:val="00AF1A86"/>
    <w:rsid w:val="00B337BD"/>
    <w:rsid w:val="00B519C5"/>
    <w:rsid w:val="00B6475D"/>
    <w:rsid w:val="00B858C7"/>
    <w:rsid w:val="00BF63C5"/>
    <w:rsid w:val="00C060BB"/>
    <w:rsid w:val="00C61360"/>
    <w:rsid w:val="00C76D91"/>
    <w:rsid w:val="00C830ED"/>
    <w:rsid w:val="00CB1503"/>
    <w:rsid w:val="00CC70C2"/>
    <w:rsid w:val="00D74A92"/>
    <w:rsid w:val="00DE4BF5"/>
    <w:rsid w:val="00DE523A"/>
    <w:rsid w:val="00ED1B11"/>
    <w:rsid w:val="00ED5751"/>
    <w:rsid w:val="00ED7932"/>
    <w:rsid w:val="00F419A3"/>
    <w:rsid w:val="00F44AAB"/>
    <w:rsid w:val="00F82679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EE731C"/>
  <w15:docId w15:val="{BD20ACA3-FCF4-4A3E-9FD9-6598F9AF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C45"/>
    <w:pPr>
      <w:ind w:left="720"/>
      <w:contextualSpacing/>
    </w:pPr>
  </w:style>
  <w:style w:type="paragraph" w:styleId="Header">
    <w:name w:val="header"/>
    <w:basedOn w:val="Normal"/>
    <w:link w:val="HeaderChar"/>
    <w:rsid w:val="000C1295"/>
    <w:pPr>
      <w:tabs>
        <w:tab w:val="center" w:pos="4153"/>
        <w:tab w:val="right" w:pos="8306"/>
      </w:tabs>
      <w:spacing w:after="0" w:line="240" w:lineRule="atLeast"/>
      <w:jc w:val="both"/>
    </w:pPr>
    <w:rPr>
      <w:rFonts w:ascii="Clan-News" w:eastAsia="Times New Roman" w:hAnsi="Clan-New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C1295"/>
    <w:rPr>
      <w:rFonts w:ascii="Clan-News" w:eastAsia="Times New Roman" w:hAnsi="Clan-New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F3"/>
  </w:style>
  <w:style w:type="paragraph" w:styleId="BalloonText">
    <w:name w:val="Balloon Text"/>
    <w:basedOn w:val="Normal"/>
    <w:link w:val="BalloonTextChar"/>
    <w:uiPriority w:val="99"/>
    <w:semiHidden/>
    <w:unhideWhenUsed/>
    <w:rsid w:val="00FD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4A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2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2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9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6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Supplier%20Relationship%20Aid%20Memoir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A26973937</value>
    </field>
    <field name="Objective-Title">
      <value order="0">Route 3 - Contract Management Supply Positions - Image</value>
    </field>
    <field name="Objective-Description">
      <value order="0"/>
    </field>
    <field name="Objective-CreationStamp">
      <value order="0">2020-01-29T14:50:33Z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2020-02-20T14:58:56Z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vA39073464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2AD4684D-D5BF-4F9D-BED4-8538B9C8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Prison Service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SpinTest</dc:creator>
  <cp:lastModifiedBy>Martin S (Shaw)</cp:lastModifiedBy>
  <cp:revision>2</cp:revision>
  <cp:lastPrinted>2014-09-04T09:09:00Z</cp:lastPrinted>
  <dcterms:created xsi:type="dcterms:W3CDTF">2020-03-06T10:59:00Z</dcterms:created>
  <dcterms:modified xsi:type="dcterms:W3CDTF">2020-03-06T10:59:00Z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A26973937</vt:lpwstr>
  </property>
  <property fmtid="{D5CDD505-2E9C-101B-9397-08002B2CF9AE}" pid="4" name="Objective-Title">
    <vt:lpwstr>Route 3 - Contract Management Supply Positions - Image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2020-01-29T14:50:33Z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2020-02-20T14:58:56Z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vA39073464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