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59520" w14:textId="77777777" w:rsidR="001A224B" w:rsidRPr="001A224B" w:rsidRDefault="001A224B" w:rsidP="001A224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left"/>
      </w:pPr>
      <w:r w:rsidRPr="001A224B">
        <w:t xml:space="preserve">This is applicable to The Procurement Journey - </w:t>
      </w:r>
      <w:hyperlink r:id="rId9" w:history="1">
        <w:r w:rsidRPr="001A224B">
          <w:rPr>
            <w:rStyle w:val="Hyperlink"/>
          </w:rPr>
          <w:t>Route 3</w:t>
        </w:r>
      </w:hyperlink>
    </w:p>
    <w:p w14:paraId="1666AF9D" w14:textId="77777777" w:rsidR="00983DE0" w:rsidRDefault="00983DE0" w:rsidP="00742F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left"/>
      </w:pPr>
    </w:p>
    <w:p w14:paraId="7C6BDC58" w14:textId="77777777" w:rsidR="00AE7BBA" w:rsidRDefault="001A224B" w:rsidP="00742F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left"/>
        <w:rPr>
          <w:b/>
        </w:rPr>
      </w:pPr>
      <w:r>
        <w:rPr>
          <w:b/>
        </w:rPr>
        <w:t>R</w:t>
      </w:r>
      <w:r w:rsidR="007A6099" w:rsidRPr="007A6099">
        <w:rPr>
          <w:b/>
        </w:rPr>
        <w:t>egulated - mini competition - successful - no standstill</w:t>
      </w:r>
    </w:p>
    <w:p w14:paraId="50F112A8" w14:textId="77777777" w:rsidR="001A224B" w:rsidRDefault="001A224B" w:rsidP="00742F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left"/>
        <w:rPr>
          <w:b/>
        </w:rPr>
      </w:pPr>
    </w:p>
    <w:p w14:paraId="4B658615" w14:textId="74327705" w:rsidR="001A224B" w:rsidRPr="00330D5E" w:rsidRDefault="001A224B" w:rsidP="001A224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left"/>
        <w:rPr>
          <w:rStyle w:val="Hyperlink"/>
        </w:rPr>
      </w:pPr>
      <w:r w:rsidRPr="001A224B">
        <w:rPr>
          <w:bCs/>
        </w:rPr>
        <w:t>This template is for use in regulated procurements, as defined in the </w:t>
      </w:r>
      <w:r w:rsidR="00330D5E">
        <w:fldChar w:fldCharType="begin"/>
      </w:r>
      <w:r w:rsidR="00330D5E">
        <w:instrText>HYPERLINK "https://www.legislation.gov.uk/ssi/2015/446/regulation/5"</w:instrText>
      </w:r>
      <w:r w:rsidR="00330D5E">
        <w:fldChar w:fldCharType="separate"/>
      </w:r>
      <w:r w:rsidRPr="00330D5E">
        <w:rPr>
          <w:rStyle w:val="Hyperlink"/>
        </w:rPr>
        <w:t>Public Contracts (Scotland) Regulations 2015 </w:t>
      </w:r>
      <w:r w:rsidRPr="00330D5E">
        <w:rPr>
          <w:rStyle w:val="Hyperlink"/>
          <w:bCs/>
        </w:rPr>
        <w:t>for goods and services</w:t>
      </w:r>
    </w:p>
    <w:p w14:paraId="10D59F4F" w14:textId="14A3041D" w:rsidR="001A224B" w:rsidRDefault="00330D5E" w:rsidP="00742F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left"/>
        <w:rPr>
          <w:b/>
        </w:rPr>
      </w:pPr>
      <w:r>
        <w:fldChar w:fldCharType="end"/>
      </w:r>
    </w:p>
    <w:p w14:paraId="6E4D5EB5" w14:textId="77777777" w:rsidR="00C709BF" w:rsidRDefault="00A57FA6" w:rsidP="00742F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left"/>
      </w:pPr>
      <w:r>
        <w:t>It is a require</w:t>
      </w:r>
      <w:r w:rsidR="00471BF0">
        <w:t xml:space="preserve">ment to notify tenderers which </w:t>
      </w:r>
      <w:r w:rsidR="00AE7BBA">
        <w:t xml:space="preserve">are </w:t>
      </w:r>
      <w:r>
        <w:t>successful in a mini-competition or when a contract is awarded under a dynamic purchasing system of the decision in relation to the contract.</w:t>
      </w:r>
    </w:p>
    <w:p w14:paraId="29372AC2" w14:textId="77777777" w:rsidR="00AE7BBA" w:rsidRDefault="00AE7BBA" w:rsidP="00742F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left"/>
      </w:pPr>
    </w:p>
    <w:p w14:paraId="4470289F" w14:textId="77777777" w:rsidR="00AE7BBA" w:rsidRPr="00AE7BBA" w:rsidRDefault="00AE7BBA" w:rsidP="00742F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left"/>
      </w:pPr>
      <w:r w:rsidRPr="00AE7BBA">
        <w:rPr>
          <w:rFonts w:cs="Arial"/>
          <w:bCs/>
          <w:lang w:val="en"/>
        </w:rPr>
        <w:t xml:space="preserve">The Public Contracts (Scotland) Regulations 2015, </w:t>
      </w:r>
      <w:r w:rsidR="00AE4A47">
        <w:rPr>
          <w:rFonts w:cs="Arial"/>
          <w:bCs/>
          <w:lang w:val="en"/>
        </w:rPr>
        <w:t>regulation</w:t>
      </w:r>
      <w:r w:rsidRPr="00AE7BBA">
        <w:rPr>
          <w:rFonts w:cs="Arial"/>
          <w:bCs/>
          <w:lang w:val="en"/>
        </w:rPr>
        <w:t xml:space="preserve"> </w:t>
      </w:r>
      <w:r w:rsidR="00AE4A47">
        <w:rPr>
          <w:rFonts w:cs="Arial"/>
          <w:bCs/>
          <w:lang w:val="en"/>
        </w:rPr>
        <w:t>(</w:t>
      </w:r>
      <w:r w:rsidRPr="00AE7BBA">
        <w:rPr>
          <w:rFonts w:cs="Arial"/>
          <w:bCs/>
          <w:lang w:val="en"/>
        </w:rPr>
        <w:t>85</w:t>
      </w:r>
      <w:r w:rsidR="00AE4A47">
        <w:rPr>
          <w:rFonts w:cs="Arial"/>
          <w:bCs/>
          <w:lang w:val="en"/>
        </w:rPr>
        <w:t>)</w:t>
      </w:r>
      <w:r w:rsidRPr="00AE7BBA">
        <w:rPr>
          <w:rFonts w:cs="Arial"/>
          <w:bCs/>
          <w:lang w:val="en"/>
        </w:rPr>
        <w:t xml:space="preserve"> provides further detail on </w:t>
      </w:r>
      <w:r>
        <w:rPr>
          <w:rFonts w:cs="Arial"/>
          <w:bCs/>
          <w:color w:val="000000"/>
          <w:lang w:val="en"/>
        </w:rPr>
        <w:t>n</w:t>
      </w:r>
      <w:r w:rsidRPr="00AE7BBA">
        <w:rPr>
          <w:rFonts w:cs="Arial"/>
          <w:bCs/>
          <w:color w:val="000000"/>
          <w:lang w:val="en"/>
        </w:rPr>
        <w:t>otices of decisions to award a contract or conclude a framework agreement.</w:t>
      </w:r>
    </w:p>
    <w:p w14:paraId="1DD334EE" w14:textId="77777777" w:rsidR="00717B47" w:rsidRPr="004D53AE" w:rsidRDefault="00717B47" w:rsidP="00742F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left"/>
      </w:pPr>
    </w:p>
    <w:p w14:paraId="4AA247C8" w14:textId="77777777" w:rsidR="00C709BF" w:rsidRPr="00445DD9" w:rsidRDefault="00C709BF" w:rsidP="00742FF3">
      <w:pPr>
        <w:jc w:val="left"/>
        <w:rPr>
          <w:b/>
        </w:rPr>
      </w:pPr>
    </w:p>
    <w:p w14:paraId="4EA89BC5" w14:textId="50296C66" w:rsidR="00B644D7" w:rsidRPr="00A57FA6" w:rsidRDefault="00B644D7" w:rsidP="00742FF3">
      <w:pPr>
        <w:pStyle w:val="BodyText"/>
        <w:jc w:val="left"/>
        <w:rPr>
          <w:rFonts w:ascii="Arial" w:hAnsi="Arial"/>
        </w:rPr>
      </w:pPr>
      <w:r w:rsidRPr="00A57FA6">
        <w:rPr>
          <w:rFonts w:ascii="Arial" w:hAnsi="Arial"/>
        </w:rPr>
        <w:t xml:space="preserve">I refer to your mini competition submission dated </w:t>
      </w:r>
      <w:r w:rsidR="00510663" w:rsidRPr="00510663">
        <w:rPr>
          <w:rFonts w:ascii="Arial" w:hAnsi="Arial"/>
          <w:b/>
        </w:rPr>
        <w:t>[insert date</w:t>
      </w:r>
      <w:r w:rsidRPr="00510663">
        <w:rPr>
          <w:rFonts w:ascii="Arial" w:hAnsi="Arial"/>
          <w:b/>
        </w:rPr>
        <w:t>]</w:t>
      </w:r>
      <w:r w:rsidRPr="00A57FA6">
        <w:rPr>
          <w:rFonts w:ascii="Arial" w:hAnsi="Arial"/>
        </w:rPr>
        <w:t xml:space="preserve"> in respect </w:t>
      </w:r>
      <w:r w:rsidRPr="00330D5E">
        <w:rPr>
          <w:rFonts w:ascii="Arial" w:hAnsi="Arial"/>
          <w:bCs/>
        </w:rPr>
        <w:t>of</w:t>
      </w:r>
      <w:r w:rsidRPr="00510663">
        <w:rPr>
          <w:rFonts w:ascii="Arial" w:hAnsi="Arial"/>
          <w:b/>
        </w:rPr>
        <w:t xml:space="preserve"> </w:t>
      </w:r>
      <w:r w:rsidR="00510663" w:rsidRPr="00510663">
        <w:rPr>
          <w:rFonts w:ascii="Arial" w:hAnsi="Arial"/>
          <w:b/>
        </w:rPr>
        <w:t>[insert title of contract</w:t>
      </w:r>
      <w:r w:rsidRPr="00510663">
        <w:rPr>
          <w:rFonts w:ascii="Arial" w:hAnsi="Arial"/>
          <w:b/>
        </w:rPr>
        <w:t>]</w:t>
      </w:r>
      <w:r w:rsidRPr="00A57FA6">
        <w:rPr>
          <w:rFonts w:ascii="Arial" w:hAnsi="Arial"/>
        </w:rPr>
        <w:t xml:space="preserve">.  We have now completed our evaluation of all the tenders received in response to the </w:t>
      </w:r>
      <w:r w:rsidRPr="00510663">
        <w:rPr>
          <w:rFonts w:ascii="Arial" w:hAnsi="Arial"/>
          <w:b/>
        </w:rPr>
        <w:t xml:space="preserve">[mini-competition/invitation to tender] </w:t>
      </w:r>
      <w:r w:rsidRPr="00A57FA6">
        <w:rPr>
          <w:rFonts w:ascii="Arial" w:hAnsi="Arial"/>
        </w:rPr>
        <w:t xml:space="preserve">for this contract in accordance with our previously published evaluation criteria, and your tender has been found to </w:t>
      </w:r>
      <w:r w:rsidR="00330D5E">
        <w:rPr>
          <w:rFonts w:ascii="Arial" w:hAnsi="Arial"/>
        </w:rPr>
        <w:t>be the most economically advantageous tender on the basis of</w:t>
      </w:r>
      <w:r w:rsidR="00330D5E" w:rsidRPr="00A57FA6">
        <w:rPr>
          <w:rFonts w:ascii="Arial" w:hAnsi="Arial"/>
        </w:rPr>
        <w:t xml:space="preserve"> </w:t>
      </w:r>
      <w:r w:rsidRPr="00A57FA6">
        <w:rPr>
          <w:rFonts w:ascii="Arial" w:hAnsi="Arial"/>
        </w:rPr>
        <w:t xml:space="preserve">the best price quality ratio.  </w:t>
      </w:r>
    </w:p>
    <w:p w14:paraId="356CC5C9" w14:textId="77777777" w:rsidR="00C709BF" w:rsidRPr="00A57FA6" w:rsidRDefault="00C709BF" w:rsidP="00742FF3">
      <w:pPr>
        <w:jc w:val="left"/>
      </w:pPr>
    </w:p>
    <w:p w14:paraId="28EC751B" w14:textId="77777777" w:rsidR="00C709BF" w:rsidRPr="00330D5E" w:rsidRDefault="00AE4A47" w:rsidP="00742FF3">
      <w:pPr>
        <w:pStyle w:val="BodyText"/>
        <w:jc w:val="left"/>
        <w:rPr>
          <w:rFonts w:ascii="Arial" w:hAnsi="Arial"/>
          <w:bCs/>
          <w:iCs/>
        </w:rPr>
      </w:pPr>
      <w:r w:rsidRPr="00330D5E">
        <w:rPr>
          <w:rFonts w:ascii="Arial" w:hAnsi="Arial"/>
          <w:bCs/>
          <w:iCs/>
        </w:rPr>
        <w:t>[</w:t>
      </w:r>
      <w:r w:rsidR="00C709BF" w:rsidRPr="00330D5E">
        <w:rPr>
          <w:rFonts w:ascii="Arial" w:hAnsi="Arial"/>
          <w:bCs/>
          <w:iCs/>
        </w:rPr>
        <w:t>The table below shows the individual scores given against the published criteria in respect of your submission.</w:t>
      </w:r>
      <w:r w:rsidRPr="00330D5E">
        <w:rPr>
          <w:rFonts w:ascii="Arial" w:hAnsi="Arial"/>
          <w:bCs/>
          <w:iCs/>
        </w:rPr>
        <w:t>]</w:t>
      </w:r>
    </w:p>
    <w:p w14:paraId="1255526C" w14:textId="77777777" w:rsidR="00C709BF" w:rsidRPr="00577BEB" w:rsidRDefault="00C709BF" w:rsidP="00742FF3">
      <w:pPr>
        <w:pStyle w:val="BodyText"/>
        <w:jc w:val="left"/>
        <w:rPr>
          <w:rFonts w:ascii="Arial" w:hAnsi="Arial"/>
          <w:i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1620"/>
        <w:gridCol w:w="1620"/>
      </w:tblGrid>
      <w:tr w:rsidR="00C709BF" w:rsidRPr="004A4F09" w14:paraId="2E79A077" w14:textId="77777777" w:rsidTr="00C709BF">
        <w:tc>
          <w:tcPr>
            <w:tcW w:w="5760" w:type="dxa"/>
            <w:shd w:val="pct20" w:color="auto" w:fill="FFFFFF"/>
          </w:tcPr>
          <w:p w14:paraId="6E47A2E4" w14:textId="77777777" w:rsidR="00C709BF" w:rsidRPr="00AE4A47" w:rsidRDefault="00983DE0" w:rsidP="00742FF3">
            <w:pPr>
              <w:pStyle w:val="BodyText"/>
              <w:jc w:val="left"/>
              <w:rPr>
                <w:rFonts w:ascii="Arial" w:hAnsi="Arial"/>
                <w:b/>
                <w:sz w:val="20"/>
              </w:rPr>
            </w:pPr>
            <w:r w:rsidRPr="00AE4A47">
              <w:rPr>
                <w:rFonts w:ascii="Arial" w:hAnsi="Arial"/>
                <w:b/>
                <w:sz w:val="20"/>
              </w:rPr>
              <w:t>PUBLISHED</w:t>
            </w:r>
            <w:r w:rsidR="00C709BF" w:rsidRPr="00AE4A47">
              <w:rPr>
                <w:rFonts w:ascii="Arial" w:hAnsi="Arial"/>
                <w:b/>
                <w:sz w:val="20"/>
              </w:rPr>
              <w:t xml:space="preserve"> CRITERIA</w:t>
            </w:r>
          </w:p>
        </w:tc>
        <w:tc>
          <w:tcPr>
            <w:tcW w:w="1620" w:type="dxa"/>
            <w:shd w:val="pct20" w:color="auto" w:fill="FFFFFF"/>
          </w:tcPr>
          <w:p w14:paraId="4D4104BB" w14:textId="77777777" w:rsidR="00C709BF" w:rsidRPr="00AE4A47" w:rsidRDefault="00C709BF" w:rsidP="00AE4A47">
            <w:pPr>
              <w:pStyle w:val="BodyText"/>
              <w:jc w:val="left"/>
              <w:rPr>
                <w:rFonts w:ascii="Arial" w:hAnsi="Arial"/>
                <w:b/>
                <w:sz w:val="20"/>
              </w:rPr>
            </w:pPr>
            <w:r w:rsidRPr="00AE4A47">
              <w:rPr>
                <w:rFonts w:ascii="Arial" w:hAnsi="Arial"/>
                <w:b/>
                <w:sz w:val="20"/>
              </w:rPr>
              <w:t>WEIGHTING</w:t>
            </w:r>
          </w:p>
        </w:tc>
        <w:tc>
          <w:tcPr>
            <w:tcW w:w="1620" w:type="dxa"/>
            <w:shd w:val="pct20" w:color="auto" w:fill="FFFFFF"/>
          </w:tcPr>
          <w:p w14:paraId="525F562B" w14:textId="77777777" w:rsidR="00C709BF" w:rsidRPr="00AE4A47" w:rsidRDefault="00C709BF" w:rsidP="00742FF3">
            <w:pPr>
              <w:pStyle w:val="BodyText"/>
              <w:jc w:val="left"/>
              <w:rPr>
                <w:rFonts w:ascii="Arial" w:hAnsi="Arial"/>
                <w:b/>
                <w:sz w:val="20"/>
              </w:rPr>
            </w:pPr>
            <w:r w:rsidRPr="00AE4A47">
              <w:rPr>
                <w:rFonts w:ascii="Arial" w:hAnsi="Arial"/>
                <w:b/>
                <w:sz w:val="20"/>
              </w:rPr>
              <w:t>YOUR SCORE</w:t>
            </w:r>
          </w:p>
        </w:tc>
      </w:tr>
      <w:tr w:rsidR="00C709BF" w:rsidRPr="004A4F09" w14:paraId="647E4850" w14:textId="77777777" w:rsidTr="00C709BF">
        <w:tc>
          <w:tcPr>
            <w:tcW w:w="5760" w:type="dxa"/>
          </w:tcPr>
          <w:p w14:paraId="0B0DBDD7" w14:textId="77777777" w:rsidR="00C709BF" w:rsidRPr="00AE4A47" w:rsidRDefault="00C709BF" w:rsidP="00742FF3">
            <w:pPr>
              <w:pStyle w:val="BodyText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1620" w:type="dxa"/>
          </w:tcPr>
          <w:p w14:paraId="293894F5" w14:textId="77777777" w:rsidR="00C709BF" w:rsidRPr="00AE4A47" w:rsidRDefault="00C709BF" w:rsidP="00742FF3">
            <w:pPr>
              <w:pStyle w:val="BodyText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1620" w:type="dxa"/>
          </w:tcPr>
          <w:p w14:paraId="7AB74927" w14:textId="77777777" w:rsidR="00C709BF" w:rsidRPr="00AE4A47" w:rsidRDefault="00C709BF" w:rsidP="00742FF3">
            <w:pPr>
              <w:pStyle w:val="BodyText"/>
              <w:jc w:val="left"/>
              <w:rPr>
                <w:rFonts w:ascii="Arial" w:hAnsi="Arial"/>
                <w:sz w:val="20"/>
              </w:rPr>
            </w:pPr>
          </w:p>
        </w:tc>
      </w:tr>
      <w:tr w:rsidR="00C709BF" w:rsidRPr="004A4F09" w14:paraId="067BFBFB" w14:textId="77777777" w:rsidTr="00C709BF">
        <w:tc>
          <w:tcPr>
            <w:tcW w:w="5760" w:type="dxa"/>
          </w:tcPr>
          <w:p w14:paraId="5BA91BAC" w14:textId="77777777" w:rsidR="00C709BF" w:rsidRPr="00AE4A47" w:rsidRDefault="00C709BF" w:rsidP="00742FF3">
            <w:pPr>
              <w:pStyle w:val="BodyText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1620" w:type="dxa"/>
          </w:tcPr>
          <w:p w14:paraId="019783EF" w14:textId="77777777" w:rsidR="00C709BF" w:rsidRPr="00AE4A47" w:rsidRDefault="00C709BF" w:rsidP="00742FF3">
            <w:pPr>
              <w:pStyle w:val="BodyText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1620" w:type="dxa"/>
          </w:tcPr>
          <w:p w14:paraId="2CAD1143" w14:textId="77777777" w:rsidR="00C709BF" w:rsidRPr="00AE4A47" w:rsidRDefault="00C709BF" w:rsidP="00742FF3">
            <w:pPr>
              <w:pStyle w:val="BodyText"/>
              <w:jc w:val="left"/>
              <w:rPr>
                <w:rFonts w:ascii="Arial" w:hAnsi="Arial"/>
                <w:sz w:val="20"/>
              </w:rPr>
            </w:pPr>
          </w:p>
        </w:tc>
      </w:tr>
      <w:tr w:rsidR="00C709BF" w:rsidRPr="004A4F09" w14:paraId="49BA6904" w14:textId="77777777" w:rsidTr="00C709BF">
        <w:tc>
          <w:tcPr>
            <w:tcW w:w="5760" w:type="dxa"/>
          </w:tcPr>
          <w:p w14:paraId="5D7E737B" w14:textId="77777777" w:rsidR="00C709BF" w:rsidRPr="00AE4A47" w:rsidRDefault="00C709BF" w:rsidP="00742FF3">
            <w:pPr>
              <w:pStyle w:val="BodyText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1620" w:type="dxa"/>
          </w:tcPr>
          <w:p w14:paraId="57212D15" w14:textId="77777777" w:rsidR="00C709BF" w:rsidRPr="00AE4A47" w:rsidRDefault="00C709BF" w:rsidP="00742FF3">
            <w:pPr>
              <w:pStyle w:val="BodyText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1620" w:type="dxa"/>
          </w:tcPr>
          <w:p w14:paraId="2ECB564C" w14:textId="77777777" w:rsidR="00C709BF" w:rsidRPr="00AE4A47" w:rsidRDefault="00C709BF" w:rsidP="00742FF3">
            <w:pPr>
              <w:pStyle w:val="BodyText"/>
              <w:jc w:val="left"/>
              <w:rPr>
                <w:rFonts w:ascii="Arial" w:hAnsi="Arial"/>
                <w:sz w:val="20"/>
              </w:rPr>
            </w:pPr>
          </w:p>
        </w:tc>
      </w:tr>
      <w:tr w:rsidR="00C709BF" w:rsidRPr="004A4F09" w14:paraId="6A8F67CF" w14:textId="77777777" w:rsidTr="00C709BF">
        <w:tc>
          <w:tcPr>
            <w:tcW w:w="5760" w:type="dxa"/>
          </w:tcPr>
          <w:p w14:paraId="0F5B9C44" w14:textId="77777777" w:rsidR="00C709BF" w:rsidRPr="00AE4A47" w:rsidRDefault="00C709BF" w:rsidP="00742FF3">
            <w:pPr>
              <w:pStyle w:val="BodyText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1620" w:type="dxa"/>
          </w:tcPr>
          <w:p w14:paraId="4886A010" w14:textId="77777777" w:rsidR="00C709BF" w:rsidRPr="00AE4A47" w:rsidRDefault="00C709BF" w:rsidP="00742FF3">
            <w:pPr>
              <w:pStyle w:val="BodyText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1620" w:type="dxa"/>
          </w:tcPr>
          <w:p w14:paraId="6FB76AF7" w14:textId="77777777" w:rsidR="00C709BF" w:rsidRPr="00AE4A47" w:rsidRDefault="00C709BF" w:rsidP="00742FF3">
            <w:pPr>
              <w:pStyle w:val="BodyText"/>
              <w:jc w:val="left"/>
              <w:rPr>
                <w:rFonts w:ascii="Arial" w:hAnsi="Arial"/>
                <w:sz w:val="20"/>
              </w:rPr>
            </w:pPr>
          </w:p>
        </w:tc>
      </w:tr>
      <w:tr w:rsidR="00C709BF" w:rsidRPr="004A4F09" w14:paraId="640B09A5" w14:textId="77777777" w:rsidTr="00C709BF">
        <w:trPr>
          <w:cantSplit/>
        </w:trPr>
        <w:tc>
          <w:tcPr>
            <w:tcW w:w="7380" w:type="dxa"/>
            <w:gridSpan w:val="2"/>
          </w:tcPr>
          <w:p w14:paraId="1A8E6790" w14:textId="77777777" w:rsidR="00C709BF" w:rsidRPr="00AE4A47" w:rsidRDefault="00C709BF" w:rsidP="00742FF3">
            <w:pPr>
              <w:pStyle w:val="BodyText"/>
              <w:jc w:val="left"/>
              <w:rPr>
                <w:rFonts w:ascii="Arial" w:hAnsi="Arial"/>
                <w:b/>
                <w:sz w:val="20"/>
              </w:rPr>
            </w:pPr>
            <w:r w:rsidRPr="00AE4A47">
              <w:rPr>
                <w:rFonts w:ascii="Arial" w:hAnsi="Arial"/>
                <w:b/>
                <w:sz w:val="20"/>
              </w:rPr>
              <w:t>OVERALL SCORE</w:t>
            </w:r>
          </w:p>
        </w:tc>
        <w:tc>
          <w:tcPr>
            <w:tcW w:w="1620" w:type="dxa"/>
          </w:tcPr>
          <w:p w14:paraId="6427C059" w14:textId="77777777" w:rsidR="00C709BF" w:rsidRPr="00AE4A47" w:rsidRDefault="00C709BF" w:rsidP="00742FF3">
            <w:pPr>
              <w:pStyle w:val="BodyText"/>
              <w:jc w:val="left"/>
              <w:rPr>
                <w:rFonts w:ascii="Arial" w:hAnsi="Arial"/>
                <w:sz w:val="20"/>
              </w:rPr>
            </w:pPr>
          </w:p>
        </w:tc>
      </w:tr>
    </w:tbl>
    <w:p w14:paraId="167DEDB0" w14:textId="77777777" w:rsidR="00C709BF" w:rsidRDefault="00C709BF" w:rsidP="00742FF3">
      <w:pPr>
        <w:pStyle w:val="BodyText"/>
        <w:jc w:val="left"/>
        <w:rPr>
          <w:rFonts w:ascii="Arial" w:hAnsi="Arial"/>
        </w:rPr>
      </w:pPr>
    </w:p>
    <w:p w14:paraId="78143E3E" w14:textId="77777777" w:rsidR="00C709BF" w:rsidRPr="00510663" w:rsidRDefault="00C709BF" w:rsidP="00742FF3">
      <w:pPr>
        <w:pStyle w:val="BodyText"/>
        <w:jc w:val="left"/>
        <w:rPr>
          <w:rFonts w:ascii="Arial" w:hAnsi="Arial" w:cs="Arial"/>
        </w:rPr>
      </w:pPr>
      <w:r w:rsidRPr="001A741D">
        <w:rPr>
          <w:rFonts w:ascii="Arial" w:hAnsi="Arial"/>
        </w:rPr>
        <w:t xml:space="preserve"> </w:t>
      </w:r>
      <w:r w:rsidRPr="00510663">
        <w:rPr>
          <w:rFonts w:ascii="Arial" w:hAnsi="Arial" w:cs="Arial"/>
          <w:lang w:eastAsia="en-GB"/>
        </w:rPr>
        <w:t>The documents listed below will form part of the contract:</w:t>
      </w:r>
    </w:p>
    <w:p w14:paraId="3BA4D167" w14:textId="77777777" w:rsidR="00C709BF" w:rsidRPr="00704747" w:rsidRDefault="00C709BF" w:rsidP="00742FF3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cs="Arial"/>
          <w:lang w:eastAsia="en-GB"/>
        </w:rPr>
      </w:pPr>
      <w:r w:rsidRPr="00704747">
        <w:rPr>
          <w:rFonts w:cs="Arial"/>
          <w:lang w:eastAsia="en-GB"/>
        </w:rPr>
        <w:t>call-off contract terms and conditions;</w:t>
      </w:r>
    </w:p>
    <w:p w14:paraId="3D022014" w14:textId="77777777" w:rsidR="00C709BF" w:rsidRPr="00704747" w:rsidRDefault="00C709BF" w:rsidP="00742FF3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cs="Arial"/>
          <w:lang w:eastAsia="en-GB"/>
        </w:rPr>
      </w:pPr>
      <w:r w:rsidRPr="00704747">
        <w:rPr>
          <w:rFonts w:cs="Arial"/>
          <w:lang w:eastAsia="en-GB"/>
        </w:rPr>
        <w:t>mini-competition award letter;</w:t>
      </w:r>
    </w:p>
    <w:p w14:paraId="159579EF" w14:textId="77777777" w:rsidR="00C709BF" w:rsidRPr="00704747" w:rsidRDefault="00C709BF" w:rsidP="00742FF3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cs="Arial"/>
          <w:lang w:eastAsia="en-GB"/>
        </w:rPr>
      </w:pPr>
      <w:r w:rsidRPr="00704747">
        <w:rPr>
          <w:rFonts w:cs="Arial"/>
          <w:lang w:eastAsia="en-GB"/>
        </w:rPr>
        <w:t>mini-competition specification;</w:t>
      </w:r>
    </w:p>
    <w:p w14:paraId="2273710F" w14:textId="77777777" w:rsidR="00C709BF" w:rsidRDefault="00C709BF" w:rsidP="00742FF3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cs="Arial"/>
          <w:lang w:eastAsia="en-GB"/>
        </w:rPr>
      </w:pPr>
      <w:r w:rsidRPr="00704747">
        <w:rPr>
          <w:rFonts w:cs="Arial"/>
          <w:lang w:eastAsia="en-GB"/>
        </w:rPr>
        <w:t>relevant pricing schedule.</w:t>
      </w:r>
    </w:p>
    <w:p w14:paraId="41C51EDF" w14:textId="77777777" w:rsidR="00AE4A47" w:rsidRPr="00704747" w:rsidRDefault="00AE4A47" w:rsidP="00AE4A47">
      <w:pPr>
        <w:tabs>
          <w:tab w:val="clear" w:pos="720"/>
        </w:tabs>
        <w:autoSpaceDE w:val="0"/>
        <w:autoSpaceDN w:val="0"/>
        <w:adjustRightInd w:val="0"/>
        <w:ind w:left="720"/>
        <w:jc w:val="left"/>
        <w:rPr>
          <w:rFonts w:cs="Arial"/>
          <w:lang w:eastAsia="en-GB"/>
        </w:rPr>
      </w:pPr>
    </w:p>
    <w:p w14:paraId="423E235C" w14:textId="144EF516" w:rsidR="00C709BF" w:rsidRPr="00704747" w:rsidRDefault="00330D5E" w:rsidP="00742FF3">
      <w:pPr>
        <w:autoSpaceDE w:val="0"/>
        <w:autoSpaceDN w:val="0"/>
        <w:adjustRightInd w:val="0"/>
        <w:jc w:val="left"/>
        <w:rPr>
          <w:rFonts w:cs="Arial"/>
          <w:lang w:eastAsia="en-GB"/>
        </w:rPr>
      </w:pPr>
      <w:r>
        <w:rPr>
          <w:rFonts w:cs="Arial"/>
          <w:b/>
          <w:iCs/>
          <w:u w:val="single"/>
          <w:lang w:eastAsia="en-GB"/>
        </w:rPr>
        <w:t>[</w:t>
      </w:r>
      <w:r w:rsidR="00C709BF" w:rsidRPr="00510663">
        <w:rPr>
          <w:rFonts w:cs="Arial"/>
          <w:b/>
          <w:iCs/>
          <w:u w:val="single"/>
          <w:lang w:eastAsia="en-GB"/>
        </w:rPr>
        <w:t>Draft note</w:t>
      </w:r>
      <w:r w:rsidR="00C709BF" w:rsidRPr="00510663">
        <w:rPr>
          <w:rFonts w:cs="Arial"/>
          <w:lang w:eastAsia="en-GB"/>
        </w:rPr>
        <w:t xml:space="preserve">: </w:t>
      </w:r>
      <w:r w:rsidR="00C709BF" w:rsidRPr="004A4F09">
        <w:rPr>
          <w:rFonts w:cs="Arial"/>
          <w:b/>
          <w:lang w:eastAsia="en-GB"/>
        </w:rPr>
        <w:t>insert details of all</w:t>
      </w:r>
      <w:r w:rsidR="00510663" w:rsidRPr="004A4F09">
        <w:rPr>
          <w:rFonts w:cs="Arial"/>
          <w:b/>
          <w:lang w:eastAsia="en-GB"/>
        </w:rPr>
        <w:t xml:space="preserve"> other relevant correspondence.</w:t>
      </w:r>
      <w:r>
        <w:rPr>
          <w:rFonts w:cs="Arial"/>
          <w:b/>
          <w:lang w:eastAsia="en-GB"/>
        </w:rPr>
        <w:t>]</w:t>
      </w:r>
    </w:p>
    <w:p w14:paraId="64DF4BCC" w14:textId="77777777" w:rsidR="00C709BF" w:rsidRPr="00704747" w:rsidRDefault="00C709BF" w:rsidP="00742FF3">
      <w:pPr>
        <w:autoSpaceDE w:val="0"/>
        <w:autoSpaceDN w:val="0"/>
        <w:adjustRightInd w:val="0"/>
        <w:ind w:left="424"/>
        <w:jc w:val="left"/>
        <w:rPr>
          <w:rFonts w:cs="Arial"/>
          <w:lang w:eastAsia="en-GB"/>
        </w:rPr>
      </w:pPr>
    </w:p>
    <w:p w14:paraId="656BC6F8" w14:textId="77777777" w:rsidR="00510663" w:rsidRDefault="00577BEB" w:rsidP="00742FF3">
      <w:pPr>
        <w:jc w:val="left"/>
        <w:rPr>
          <w:lang w:eastAsia="en-GB"/>
        </w:rPr>
      </w:pPr>
      <w:r w:rsidRPr="00510663">
        <w:rPr>
          <w:lang w:eastAsia="en-GB"/>
        </w:rPr>
        <w:t xml:space="preserve">The contract will commence on </w:t>
      </w:r>
      <w:r w:rsidR="00510663" w:rsidRPr="00510663">
        <w:rPr>
          <w:b/>
          <w:lang w:eastAsia="en-GB"/>
        </w:rPr>
        <w:t>[insert date of contract start</w:t>
      </w:r>
      <w:r w:rsidRPr="00510663">
        <w:rPr>
          <w:b/>
          <w:lang w:eastAsia="en-GB"/>
        </w:rPr>
        <w:t>]</w:t>
      </w:r>
      <w:r w:rsidRPr="00510663">
        <w:rPr>
          <w:lang w:eastAsia="en-GB"/>
        </w:rPr>
        <w:t xml:space="preserve"> and end on </w:t>
      </w:r>
      <w:r w:rsidR="00510663" w:rsidRPr="00510663">
        <w:rPr>
          <w:b/>
          <w:lang w:eastAsia="en-GB"/>
        </w:rPr>
        <w:t>[insert date of contract expiry</w:t>
      </w:r>
      <w:r w:rsidRPr="00510663">
        <w:rPr>
          <w:b/>
          <w:lang w:eastAsia="en-GB"/>
        </w:rPr>
        <w:t>]</w:t>
      </w:r>
      <w:r w:rsidR="00C709BF" w:rsidRPr="00510663">
        <w:rPr>
          <w:lang w:eastAsia="en-GB"/>
        </w:rPr>
        <w:t xml:space="preserve"> unless the contract is terminated in accordance with the above referenced call-off contract terms and conditions.  The total cost for this contract will be</w:t>
      </w:r>
      <w:r w:rsidRPr="00510663">
        <w:rPr>
          <w:lang w:eastAsia="en-GB"/>
        </w:rPr>
        <w:t xml:space="preserve"> £</w:t>
      </w:r>
      <w:r w:rsidR="00510663" w:rsidRPr="00423E9D">
        <w:rPr>
          <w:b/>
          <w:lang w:eastAsia="en-GB"/>
        </w:rPr>
        <w:t>[insert contract value</w:t>
      </w:r>
      <w:r w:rsidRPr="00510663">
        <w:rPr>
          <w:lang w:eastAsia="en-GB"/>
        </w:rPr>
        <w:t>]</w:t>
      </w:r>
      <w:r w:rsidR="00C709BF" w:rsidRPr="00510663">
        <w:rPr>
          <w:lang w:eastAsia="en-GB"/>
        </w:rPr>
        <w:t xml:space="preserve"> (excluding VAT).  Please note that your contact for this </w:t>
      </w:r>
      <w:r w:rsidRPr="00510663">
        <w:rPr>
          <w:lang w:eastAsia="en-GB"/>
        </w:rPr>
        <w:t xml:space="preserve">contract is </w:t>
      </w:r>
      <w:r w:rsidR="00510663" w:rsidRPr="00510663">
        <w:rPr>
          <w:b/>
          <w:lang w:eastAsia="en-GB"/>
        </w:rPr>
        <w:t xml:space="preserve">[insert </w:t>
      </w:r>
      <w:r w:rsidRPr="00510663">
        <w:rPr>
          <w:b/>
          <w:lang w:eastAsia="en-GB"/>
        </w:rPr>
        <w:t>co</w:t>
      </w:r>
      <w:r w:rsidR="00510663" w:rsidRPr="00510663">
        <w:rPr>
          <w:b/>
          <w:lang w:eastAsia="en-GB"/>
        </w:rPr>
        <w:t>ntact details</w:t>
      </w:r>
      <w:r w:rsidRPr="00510663">
        <w:rPr>
          <w:b/>
          <w:lang w:eastAsia="en-GB"/>
        </w:rPr>
        <w:t>]</w:t>
      </w:r>
      <w:r w:rsidR="00C709BF" w:rsidRPr="00510663">
        <w:rPr>
          <w:lang w:eastAsia="en-GB"/>
        </w:rPr>
        <w:t xml:space="preserve">.  </w:t>
      </w:r>
    </w:p>
    <w:p w14:paraId="72BD0D94" w14:textId="77777777" w:rsidR="00510663" w:rsidRDefault="00510663" w:rsidP="00742FF3">
      <w:pPr>
        <w:jc w:val="left"/>
        <w:rPr>
          <w:lang w:eastAsia="en-GB"/>
        </w:rPr>
      </w:pPr>
    </w:p>
    <w:p w14:paraId="59BEDFC6" w14:textId="5131F203" w:rsidR="00510663" w:rsidRPr="004A4F09" w:rsidRDefault="00AE4A47" w:rsidP="00742FF3">
      <w:pPr>
        <w:jc w:val="left"/>
        <w:rPr>
          <w:b/>
        </w:rPr>
      </w:pPr>
      <w:r>
        <w:rPr>
          <w:b/>
          <w:u w:val="single"/>
        </w:rPr>
        <w:t>[</w:t>
      </w:r>
      <w:r w:rsidR="00C709BF" w:rsidRPr="00510663">
        <w:rPr>
          <w:b/>
          <w:u w:val="single"/>
        </w:rPr>
        <w:t>Draft Note</w:t>
      </w:r>
      <w:r w:rsidR="00C709BF" w:rsidRPr="00510663">
        <w:t xml:space="preserve">: </w:t>
      </w:r>
      <w:r w:rsidR="00C709BF" w:rsidRPr="004A4F09">
        <w:rPr>
          <w:b/>
        </w:rPr>
        <w:t xml:space="preserve">check </w:t>
      </w:r>
      <w:r w:rsidR="00330D5E">
        <w:rPr>
          <w:b/>
        </w:rPr>
        <w:t xml:space="preserve">the </w:t>
      </w:r>
      <w:r w:rsidR="00C709BF" w:rsidRPr="004A4F09">
        <w:rPr>
          <w:b/>
        </w:rPr>
        <w:t>framework terms and advise how the contract is to be entered into.</w:t>
      </w:r>
      <w:r>
        <w:rPr>
          <w:b/>
        </w:rPr>
        <w:t>]</w:t>
      </w:r>
    </w:p>
    <w:p w14:paraId="0A9B9642" w14:textId="77777777" w:rsidR="00C709BF" w:rsidRDefault="00C709BF" w:rsidP="00742FF3">
      <w:pPr>
        <w:jc w:val="left"/>
      </w:pPr>
    </w:p>
    <w:p w14:paraId="0DE027F7" w14:textId="77777777" w:rsidR="00C709BF" w:rsidRDefault="00C709BF" w:rsidP="00AE4A47">
      <w:pPr>
        <w:jc w:val="left"/>
      </w:pPr>
      <w:r>
        <w:lastRenderedPageBreak/>
        <w:t>I would be grateful for your written acknowledgement that you have received, and understood the contents of, this letter.</w:t>
      </w:r>
    </w:p>
    <w:sectPr w:rsidR="00C709BF" w:rsidSect="00C840A0">
      <w:headerReference w:type="default" r:id="rId10"/>
      <w:footerReference w:type="default" r:id="rId11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9FB53" w14:textId="77777777" w:rsidR="00C840A0" w:rsidRDefault="00C840A0">
      <w:r>
        <w:separator/>
      </w:r>
    </w:p>
  </w:endnote>
  <w:endnote w:type="continuationSeparator" w:id="0">
    <w:p w14:paraId="7132ED11" w14:textId="77777777" w:rsidR="00C840A0" w:rsidRDefault="00C84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D2AA0" w14:textId="65F17D8A" w:rsidR="00B644D7" w:rsidRPr="0067486A" w:rsidRDefault="00330D5E" w:rsidP="00C709BF">
    <w:pPr>
      <w:pStyle w:val="Foot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  <w:proofErr w:type="spellStart"/>
    <w:r w:rsidRPr="00330D5E">
      <w:rPr>
        <w:sz w:val="20"/>
      </w:rPr>
      <w:t>R3</w:t>
    </w:r>
    <w:proofErr w:type="spellEnd"/>
    <w:r w:rsidRPr="00330D5E">
      <w:rPr>
        <w:sz w:val="20"/>
      </w:rPr>
      <w:t>-107-B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5DB37" w14:textId="77777777" w:rsidR="00C840A0" w:rsidRDefault="00C840A0">
      <w:r>
        <w:separator/>
      </w:r>
    </w:p>
  </w:footnote>
  <w:footnote w:type="continuationSeparator" w:id="0">
    <w:p w14:paraId="7994BC57" w14:textId="77777777" w:rsidR="00C840A0" w:rsidRDefault="00C84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703A3" w14:textId="77777777" w:rsidR="00B644D7" w:rsidRPr="0067486A" w:rsidRDefault="00B644D7" w:rsidP="00C709BF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81C58"/>
    <w:multiLevelType w:val="hybridMultilevel"/>
    <w:tmpl w:val="4136391E"/>
    <w:lvl w:ilvl="0" w:tplc="F6EC7A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76"/>
        </w:tabs>
        <w:ind w:left="13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96"/>
        </w:tabs>
        <w:ind w:left="20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16"/>
        </w:tabs>
        <w:ind w:left="28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36"/>
        </w:tabs>
        <w:ind w:left="35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56"/>
        </w:tabs>
        <w:ind w:left="42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76"/>
        </w:tabs>
        <w:ind w:left="49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96"/>
        </w:tabs>
        <w:ind w:left="56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16"/>
        </w:tabs>
        <w:ind w:left="6416" w:hanging="360"/>
      </w:pPr>
      <w:rPr>
        <w:rFonts w:ascii="Wingdings" w:hAnsi="Wingdings" w:hint="default"/>
      </w:rPr>
    </w:lvl>
  </w:abstractNum>
  <w:num w:numId="1" w16cid:durableId="434061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9BF"/>
    <w:rsid w:val="00042DFD"/>
    <w:rsid w:val="000844BC"/>
    <w:rsid w:val="000D3877"/>
    <w:rsid w:val="00111437"/>
    <w:rsid w:val="00192BDD"/>
    <w:rsid w:val="001A224B"/>
    <w:rsid w:val="00214F84"/>
    <w:rsid w:val="0027424A"/>
    <w:rsid w:val="002D35F4"/>
    <w:rsid w:val="00330890"/>
    <w:rsid w:val="00330D5E"/>
    <w:rsid w:val="0033288E"/>
    <w:rsid w:val="0036592B"/>
    <w:rsid w:val="00423E9D"/>
    <w:rsid w:val="0043144C"/>
    <w:rsid w:val="00471BF0"/>
    <w:rsid w:val="00493E41"/>
    <w:rsid w:val="004A4F09"/>
    <w:rsid w:val="004D53AE"/>
    <w:rsid w:val="00510663"/>
    <w:rsid w:val="00577BEB"/>
    <w:rsid w:val="00672739"/>
    <w:rsid w:val="006C5B43"/>
    <w:rsid w:val="00717B47"/>
    <w:rsid w:val="00742FF3"/>
    <w:rsid w:val="007A6099"/>
    <w:rsid w:val="00983DE0"/>
    <w:rsid w:val="00A57FA6"/>
    <w:rsid w:val="00A96BC1"/>
    <w:rsid w:val="00AE4A47"/>
    <w:rsid w:val="00AE7BBA"/>
    <w:rsid w:val="00B644D7"/>
    <w:rsid w:val="00C709BF"/>
    <w:rsid w:val="00C840A0"/>
    <w:rsid w:val="00C92BCE"/>
    <w:rsid w:val="00CC0E79"/>
    <w:rsid w:val="00EB1474"/>
    <w:rsid w:val="00EE34FB"/>
    <w:rsid w:val="00F1326E"/>
    <w:rsid w:val="00F1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2C0AAD"/>
  <w15:docId w15:val="{95BC4FA1-2CFC-4A1A-B995-537C7BAA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09B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09BF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C709BF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BodyText">
    <w:name w:val="Body Text"/>
    <w:basedOn w:val="Normal"/>
    <w:rsid w:val="00C709BF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line="240" w:lineRule="auto"/>
    </w:pPr>
    <w:rPr>
      <w:rFonts w:ascii="Times New Roman" w:hAnsi="Times New Roman"/>
      <w:szCs w:val="20"/>
    </w:rPr>
  </w:style>
  <w:style w:type="paragraph" w:styleId="PlainText">
    <w:name w:val="Plain Text"/>
    <w:basedOn w:val="Normal"/>
    <w:rsid w:val="00C709BF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rsid w:val="000D38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3877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nhideWhenUsed/>
    <w:rsid w:val="001A224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1A224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0D5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330D5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30D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30D5E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https://www.procurementjourney.scot/route-3/route-3-introduction" TargetMode="External" Id="rId9" /><Relationship Type="http://schemas.openxmlformats.org/officeDocument/2006/relationships/customXml" Target="/customXML/item3.xml" Id="Rc84bc72b4732479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53D26341A57B383EE0540010E0463CCA" version="1.0.0">
  <systemFields>
    <field name="Objective-Id">
      <value order="0">A31335065</value>
    </field>
    <field name="Objective-Title">
      <value order="0">Route 3 - Regulated - mini competition - successful - no standstill</value>
    </field>
    <field name="Objective-Description">
      <value order="0"/>
    </field>
    <field name="Objective-CreationStamp">
      <value order="0">2020-12-21T10:18:52Z</value>
    </field>
    <field name="Objective-IsApproved">
      <value order="0">false</value>
    </field>
    <field name="Objective-IsPublished">
      <value order="0">true</value>
    </field>
    <field name="Objective-DatePublished">
      <value order="0">2024-03-21T08:51:45Z</value>
    </field>
    <field name="Objective-ModificationStamp">
      <value order="0">2024-03-21T08:51:45Z</value>
    </field>
    <field name="Objective-Owner">
      <value order="0">Martin, Shaw S (U445518)</value>
    </field>
    <field name="Objective-Path">
      <value order="0">Objective Global Folder:SG File Plan:Government, politics and public administration:Public administration:Procurement:Advice and policy: Procurement:Procurement Development: Best Practice: Procurement Journey: Documents: from 01 April: 2020-2025</value>
    </field>
    <field name="Objective-Parent">
      <value order="0">Procurement Development: Best Practice: Procurement Journey: Documents: from 01 April: 2020-2025</value>
    </field>
    <field name="Objective-State">
      <value order="0">Published</value>
    </field>
    <field name="Objective-VersionId">
      <value order="0">vA71773870</value>
    </field>
    <field name="Objective-Version">
      <value order="0">2.0</value>
    </field>
    <field name="Objective-VersionNumber">
      <value order="0">3</value>
    </field>
    <field name="Objective-VersionComment">
      <value order="0"/>
    </field>
    <field name="Objective-FileNumber">
      <value order="0">CASE/534624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DAF9E-D4EA-4DEA-806A-65DA568FF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USE IN PROCUREMENT PROCESSES STARTING ON OR AFTER 20 DECEMBER 2009 AND PRIOR TO 1 MAY 2012</vt:lpstr>
    </vt:vector>
  </TitlesOfParts>
  <Company>Scottish Executive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USE IN PROCUREMENT PROCESSES STARTING ON OR AFTER 20 DECEMBER 2009 AND PRIOR TO 1 MAY 2012</dc:title>
  <dc:creator>u103294</dc:creator>
  <cp:lastModifiedBy>Lynn McCann-Tyrrell</cp:lastModifiedBy>
  <cp:revision>3</cp:revision>
  <dcterms:created xsi:type="dcterms:W3CDTF">2020-12-18T10:43:00Z</dcterms:created>
  <dcterms:modified xsi:type="dcterms:W3CDTF">2024-03-21T09:51:00Z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A31335065</vt:lpwstr>
  </property>
  <property fmtid="{D5CDD505-2E9C-101B-9397-08002B2CF9AE}" pid="4" name="Objective-Title">
    <vt:lpwstr>Route 3 - Regulated - mini competition - successful - no standstill</vt:lpwstr>
  </property>
  <property fmtid="{D5CDD505-2E9C-101B-9397-08002B2CF9AE}" pid="5" name="Objective-Description">
    <vt:lpwstr/>
  </property>
  <property fmtid="{D5CDD505-2E9C-101B-9397-08002B2CF9AE}" pid="6" name="Objective-CreationStamp">
    <vt:filetime>2020-12-21T10:18:52Z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2024-03-21T08:51:45Z</vt:filetime>
  </property>
  <property fmtid="{D5CDD505-2E9C-101B-9397-08002B2CF9AE}" pid="10" name="Objective-ModificationStamp">
    <vt:filetime>2024-03-21T08:51:45Z</vt:filetime>
  </property>
  <property fmtid="{D5CDD505-2E9C-101B-9397-08002B2CF9AE}" pid="11" name="Objective-Owner">
    <vt:lpwstr>Martin, Shaw S (U445518)</vt:lpwstr>
  </property>
  <property fmtid="{D5CDD505-2E9C-101B-9397-08002B2CF9AE}" pid="12" name="Objective-Path">
    <vt:lpwstr>Objective Global Folder:SG File Plan:Government, politics and public administration:Public administration:Procurement:Advice and policy: Procurement:Procurement Development: Best Practice: Procurement Journey: Documents: from 01 April: 2020-2025</vt:lpwstr>
  </property>
  <property fmtid="{D5CDD505-2E9C-101B-9397-08002B2CF9AE}" pid="13" name="Objective-Parent">
    <vt:lpwstr>Procurement Development: Best Practice: Procurement Journey: Documents: from 01 April: 2020-2025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vA71773870</vt:lpwstr>
  </property>
  <property fmtid="{D5CDD505-2E9C-101B-9397-08002B2CF9AE}" pid="16" name="Objective-Version">
    <vt:lpwstr>2.0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CASE/534624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</Properties>
</file>