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362" w:rsidRDefault="001E6362"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131A91" w:rsidRDefault="00131A91" w:rsidP="005C14F6">
      <w:pPr>
        <w:jc w:val="center"/>
        <w:rPr>
          <w:rFonts w:ascii="Arial" w:hAnsi="Arial"/>
          <w:b/>
          <w:sz w:val="32"/>
          <w:szCs w:val="32"/>
        </w:rPr>
      </w:pPr>
    </w:p>
    <w:p w:rsidR="00CC379F" w:rsidRDefault="00CC379F" w:rsidP="00CC379F">
      <w:pPr>
        <w:jc w:val="center"/>
        <w:rPr>
          <w:rFonts w:ascii="Arial" w:eastAsia="Times New Roman" w:hAnsi="Arial"/>
          <w:b/>
          <w:sz w:val="28"/>
          <w:szCs w:val="28"/>
        </w:rPr>
      </w:pPr>
      <w:r>
        <w:rPr>
          <w:rFonts w:ascii="Arial" w:hAnsi="Arial"/>
          <w:b/>
          <w:bCs/>
          <w:color w:val="CC3300"/>
          <w:sz w:val="60"/>
          <w:szCs w:val="60"/>
        </w:rPr>
        <w:t>Pr</w:t>
      </w:r>
      <w:r>
        <w:rPr>
          <w:rStyle w:val="branding--black"/>
          <w:rFonts w:ascii="Arial" w:hAnsi="Arial"/>
          <w:b/>
          <w:bCs/>
          <w:sz w:val="60"/>
          <w:szCs w:val="60"/>
        </w:rPr>
        <w:t>o</w:t>
      </w:r>
      <w:r>
        <w:rPr>
          <w:rFonts w:ascii="Arial" w:hAnsi="Arial"/>
          <w:b/>
          <w:bCs/>
          <w:color w:val="CC3300"/>
          <w:sz w:val="60"/>
          <w:szCs w:val="60"/>
        </w:rPr>
        <w:t>curement J</w:t>
      </w:r>
      <w:r>
        <w:rPr>
          <w:rStyle w:val="branding--black"/>
          <w:rFonts w:ascii="Arial" w:hAnsi="Arial"/>
          <w:b/>
          <w:bCs/>
          <w:sz w:val="60"/>
          <w:szCs w:val="60"/>
        </w:rPr>
        <w:t>o</w:t>
      </w:r>
      <w:r>
        <w:rPr>
          <w:rFonts w:ascii="Arial" w:hAnsi="Arial"/>
          <w:b/>
          <w:bCs/>
          <w:color w:val="CC3300"/>
          <w:sz w:val="60"/>
          <w:szCs w:val="60"/>
        </w:rPr>
        <w:t>urney</w:t>
      </w:r>
      <w:r>
        <w:rPr>
          <w:rFonts w:ascii="Arial" w:hAnsi="Arial"/>
          <w:b/>
          <w:sz w:val="28"/>
          <w:szCs w:val="28"/>
        </w:rPr>
        <w:t xml:space="preserve"> </w:t>
      </w:r>
    </w:p>
    <w:p w:rsidR="00131A91" w:rsidRPr="001E6362" w:rsidRDefault="00131A91" w:rsidP="00131A91">
      <w:pPr>
        <w:jc w:val="center"/>
        <w:rPr>
          <w:rFonts w:ascii="Arial" w:hAnsi="Arial"/>
          <w:b/>
          <w:sz w:val="28"/>
          <w:szCs w:val="22"/>
        </w:rPr>
      </w:pPr>
      <w:r w:rsidRPr="001E6362">
        <w:rPr>
          <w:rFonts w:ascii="Arial" w:hAnsi="Arial"/>
          <w:b/>
          <w:sz w:val="28"/>
          <w:szCs w:val="22"/>
        </w:rPr>
        <w:t>Specific Considerations &amp; Rules for Care and Support Contracts</w:t>
      </w:r>
    </w:p>
    <w:p w:rsidR="00131A91" w:rsidRDefault="00131A91" w:rsidP="00131A91">
      <w:pPr>
        <w:jc w:val="center"/>
        <w:rPr>
          <w:b/>
          <w:color w:val="FF0000"/>
          <w:sz w:val="24"/>
          <w:szCs w:val="24"/>
        </w:rPr>
      </w:pPr>
    </w:p>
    <w:p w:rsidR="001E6362" w:rsidRDefault="001E6362">
      <w:pPr>
        <w:rPr>
          <w:rFonts w:ascii="Arial" w:hAnsi="Arial"/>
          <w:b/>
          <w:sz w:val="32"/>
          <w:szCs w:val="32"/>
        </w:rPr>
      </w:pPr>
      <w:r>
        <w:rPr>
          <w:rFonts w:ascii="Arial" w:hAnsi="Arial"/>
          <w:b/>
          <w:sz w:val="32"/>
          <w:szCs w:val="32"/>
        </w:rPr>
        <w:br w:type="page"/>
      </w:r>
    </w:p>
    <w:p w:rsidR="005C14F6" w:rsidRPr="001E6362" w:rsidRDefault="005C14F6" w:rsidP="005C14F6">
      <w:pPr>
        <w:jc w:val="center"/>
        <w:rPr>
          <w:rFonts w:ascii="Arial" w:hAnsi="Arial"/>
          <w:b/>
          <w:sz w:val="28"/>
          <w:szCs w:val="22"/>
        </w:rPr>
      </w:pPr>
      <w:r w:rsidRPr="001E6362">
        <w:rPr>
          <w:rFonts w:ascii="Arial" w:hAnsi="Arial"/>
          <w:b/>
          <w:sz w:val="28"/>
          <w:szCs w:val="22"/>
        </w:rPr>
        <w:lastRenderedPageBreak/>
        <w:t>Specific Considerations &amp; Rules for Care and Support Contracts</w:t>
      </w:r>
    </w:p>
    <w:p w:rsidR="005C14F6" w:rsidRPr="001E6362" w:rsidRDefault="005C14F6" w:rsidP="005C14F6">
      <w:pPr>
        <w:tabs>
          <w:tab w:val="left" w:pos="686"/>
        </w:tabs>
        <w:spacing w:line="252" w:lineRule="auto"/>
        <w:ind w:right="720"/>
        <w:jc w:val="center"/>
        <w:rPr>
          <w:rFonts w:ascii="Arial" w:eastAsia="Arial" w:hAnsi="Arial"/>
          <w:sz w:val="28"/>
          <w:szCs w:val="22"/>
        </w:rPr>
      </w:pPr>
    </w:p>
    <w:p w:rsidR="005C14F6" w:rsidRPr="001E6362" w:rsidRDefault="005C14F6" w:rsidP="005C14F6">
      <w:pPr>
        <w:tabs>
          <w:tab w:val="left" w:pos="686"/>
        </w:tabs>
        <w:spacing w:line="252" w:lineRule="auto"/>
        <w:ind w:right="720"/>
        <w:jc w:val="center"/>
        <w:rPr>
          <w:rFonts w:ascii="Arial" w:eastAsia="Arial" w:hAnsi="Arial"/>
          <w:b/>
          <w:sz w:val="24"/>
          <w:szCs w:val="22"/>
        </w:rPr>
      </w:pPr>
      <w:r w:rsidRPr="001E6362">
        <w:rPr>
          <w:rFonts w:ascii="Arial" w:eastAsia="Arial" w:hAnsi="Arial"/>
          <w:b/>
          <w:sz w:val="24"/>
          <w:szCs w:val="22"/>
        </w:rPr>
        <w:t>Guidance on Contract Renewal and Direct Award without Competition</w:t>
      </w:r>
    </w:p>
    <w:p w:rsidR="005C14F6" w:rsidRPr="001E6362" w:rsidRDefault="005C14F6" w:rsidP="005C14F6">
      <w:pPr>
        <w:tabs>
          <w:tab w:val="left" w:pos="5490"/>
        </w:tabs>
        <w:spacing w:line="252" w:lineRule="auto"/>
        <w:ind w:right="720"/>
        <w:jc w:val="both"/>
        <w:rPr>
          <w:rFonts w:ascii="Arial" w:eastAsia="Arial" w:hAnsi="Arial"/>
          <w:sz w:val="22"/>
          <w:szCs w:val="22"/>
        </w:rPr>
      </w:pPr>
      <w:r w:rsidRPr="001E6362">
        <w:rPr>
          <w:rFonts w:ascii="Arial" w:eastAsia="Arial" w:hAnsi="Arial"/>
          <w:sz w:val="22"/>
          <w:szCs w:val="22"/>
        </w:rPr>
        <w:tab/>
      </w:r>
    </w:p>
    <w:p w:rsidR="005C14F6" w:rsidRPr="001E6362" w:rsidRDefault="005C14F6" w:rsidP="005C14F6">
      <w:pPr>
        <w:tabs>
          <w:tab w:val="left" w:pos="686"/>
        </w:tabs>
        <w:spacing w:line="252" w:lineRule="auto"/>
        <w:ind w:right="68"/>
        <w:jc w:val="both"/>
        <w:rPr>
          <w:rFonts w:ascii="Arial" w:eastAsia="Arial" w:hAnsi="Arial"/>
          <w:sz w:val="22"/>
          <w:szCs w:val="22"/>
        </w:rPr>
      </w:pPr>
      <w:r w:rsidRPr="001E6362">
        <w:rPr>
          <w:rFonts w:ascii="Arial" w:eastAsia="Arial" w:hAnsi="Arial"/>
          <w:sz w:val="22"/>
          <w:szCs w:val="22"/>
        </w:rPr>
        <w:t xml:space="preserve">An organisation should analyse the benefits and risks to people who use services, and also to service delivery, of advertising the requirement and awarding the contract or framework agreement by competition. For existing services, this will require consideration, through consultation with people who use services and their </w:t>
      </w:r>
      <w:proofErr w:type="spellStart"/>
      <w:r w:rsidRPr="001E6362">
        <w:rPr>
          <w:rFonts w:ascii="Arial" w:eastAsia="Arial" w:hAnsi="Arial"/>
          <w:sz w:val="22"/>
          <w:szCs w:val="22"/>
        </w:rPr>
        <w:t>carers</w:t>
      </w:r>
      <w:proofErr w:type="spellEnd"/>
      <w:r w:rsidRPr="001E6362">
        <w:rPr>
          <w:rFonts w:ascii="Arial" w:eastAsia="Arial" w:hAnsi="Arial"/>
          <w:sz w:val="22"/>
          <w:szCs w:val="22"/>
        </w:rPr>
        <w:t>, of the impact that any change in service provision or provider will have on:</w:t>
      </w:r>
    </w:p>
    <w:p w:rsidR="005C14F6" w:rsidRPr="001E6362" w:rsidRDefault="005C14F6" w:rsidP="005C14F6">
      <w:pPr>
        <w:spacing w:line="200" w:lineRule="exact"/>
        <w:jc w:val="both"/>
        <w:rPr>
          <w:rFonts w:ascii="Arial" w:eastAsia="Arial" w:hAnsi="Arial"/>
          <w:sz w:val="22"/>
          <w:szCs w:val="22"/>
        </w:rPr>
      </w:pPr>
    </w:p>
    <w:p w:rsidR="005C14F6" w:rsidRPr="001E6362" w:rsidRDefault="005C14F6" w:rsidP="005C14F6">
      <w:pPr>
        <w:spacing w:line="214" w:lineRule="exact"/>
        <w:jc w:val="both"/>
        <w:rPr>
          <w:rFonts w:ascii="Arial" w:eastAsia="Arial" w:hAnsi="Arial"/>
          <w:sz w:val="22"/>
          <w:szCs w:val="22"/>
        </w:rPr>
      </w:pPr>
    </w:p>
    <w:p w:rsidR="005C14F6" w:rsidRPr="001E6362" w:rsidRDefault="005C14F6" w:rsidP="005C14F6">
      <w:pPr>
        <w:numPr>
          <w:ilvl w:val="1"/>
          <w:numId w:val="15"/>
        </w:numPr>
        <w:tabs>
          <w:tab w:val="left" w:pos="966"/>
        </w:tabs>
        <w:spacing w:line="0" w:lineRule="atLeast"/>
        <w:ind w:left="966" w:hanging="286"/>
        <w:jc w:val="both"/>
        <w:rPr>
          <w:rFonts w:ascii="Arial" w:eastAsia="Arial" w:hAnsi="Arial"/>
          <w:sz w:val="22"/>
          <w:szCs w:val="22"/>
        </w:rPr>
      </w:pPr>
      <w:r w:rsidRPr="001E6362">
        <w:rPr>
          <w:rFonts w:ascii="Arial" w:eastAsia="Arial" w:hAnsi="Arial"/>
          <w:sz w:val="22"/>
          <w:szCs w:val="22"/>
        </w:rPr>
        <w:t>people who use services and their carers;</w:t>
      </w:r>
    </w:p>
    <w:p w:rsidR="005C14F6" w:rsidRPr="001E6362" w:rsidRDefault="005C14F6" w:rsidP="005C14F6">
      <w:pPr>
        <w:spacing w:line="182" w:lineRule="exact"/>
        <w:jc w:val="both"/>
        <w:rPr>
          <w:rFonts w:ascii="Arial" w:eastAsia="Arial" w:hAnsi="Arial"/>
          <w:sz w:val="22"/>
          <w:szCs w:val="22"/>
        </w:rPr>
      </w:pPr>
    </w:p>
    <w:p w:rsidR="005C14F6" w:rsidRPr="001E6362" w:rsidRDefault="005C14F6" w:rsidP="005C14F6">
      <w:pPr>
        <w:numPr>
          <w:ilvl w:val="1"/>
          <w:numId w:val="15"/>
        </w:numPr>
        <w:tabs>
          <w:tab w:val="left" w:pos="966"/>
        </w:tabs>
        <w:spacing w:line="0" w:lineRule="atLeast"/>
        <w:ind w:left="966" w:hanging="286"/>
        <w:jc w:val="both"/>
        <w:rPr>
          <w:rFonts w:ascii="Arial" w:eastAsia="Arial" w:hAnsi="Arial"/>
          <w:sz w:val="22"/>
          <w:szCs w:val="22"/>
        </w:rPr>
      </w:pPr>
      <w:r w:rsidRPr="001E6362">
        <w:rPr>
          <w:rFonts w:ascii="Arial" w:eastAsia="Arial" w:hAnsi="Arial"/>
          <w:sz w:val="22"/>
          <w:szCs w:val="22"/>
        </w:rPr>
        <w:t>continuity of care;</w:t>
      </w:r>
    </w:p>
    <w:p w:rsidR="005C14F6" w:rsidRPr="001E6362" w:rsidRDefault="005C14F6" w:rsidP="005C14F6">
      <w:pPr>
        <w:spacing w:line="182" w:lineRule="exact"/>
        <w:jc w:val="both"/>
        <w:rPr>
          <w:rFonts w:ascii="Arial" w:eastAsia="Arial" w:hAnsi="Arial"/>
          <w:sz w:val="22"/>
          <w:szCs w:val="22"/>
        </w:rPr>
      </w:pPr>
    </w:p>
    <w:p w:rsidR="005C14F6" w:rsidRPr="001E6362" w:rsidRDefault="005C14F6" w:rsidP="005C14F6">
      <w:pPr>
        <w:numPr>
          <w:ilvl w:val="1"/>
          <w:numId w:val="15"/>
        </w:numPr>
        <w:tabs>
          <w:tab w:val="left" w:pos="966"/>
        </w:tabs>
        <w:spacing w:line="0" w:lineRule="atLeast"/>
        <w:ind w:left="966" w:hanging="286"/>
        <w:jc w:val="both"/>
        <w:rPr>
          <w:rFonts w:ascii="Arial" w:eastAsia="Arial" w:hAnsi="Arial"/>
          <w:sz w:val="22"/>
          <w:szCs w:val="22"/>
        </w:rPr>
      </w:pPr>
      <w:r w:rsidRPr="001E6362">
        <w:rPr>
          <w:rFonts w:ascii="Arial" w:eastAsia="Arial" w:hAnsi="Arial"/>
          <w:sz w:val="22"/>
          <w:szCs w:val="22"/>
        </w:rPr>
        <w:t>the quality of the service and the outcomes delivered;</w:t>
      </w:r>
    </w:p>
    <w:p w:rsidR="005C14F6" w:rsidRPr="001E6362" w:rsidRDefault="005C14F6" w:rsidP="005C14F6">
      <w:pPr>
        <w:spacing w:line="182" w:lineRule="exact"/>
        <w:jc w:val="both"/>
        <w:rPr>
          <w:rFonts w:ascii="Arial" w:eastAsia="Arial" w:hAnsi="Arial"/>
          <w:sz w:val="22"/>
          <w:szCs w:val="22"/>
        </w:rPr>
      </w:pPr>
    </w:p>
    <w:p w:rsidR="005C14F6" w:rsidRPr="001E6362" w:rsidRDefault="005C14F6" w:rsidP="005C14F6">
      <w:pPr>
        <w:numPr>
          <w:ilvl w:val="1"/>
          <w:numId w:val="15"/>
        </w:numPr>
        <w:tabs>
          <w:tab w:val="left" w:pos="966"/>
        </w:tabs>
        <w:spacing w:line="0" w:lineRule="atLeast"/>
        <w:ind w:left="966" w:hanging="286"/>
        <w:jc w:val="both"/>
        <w:rPr>
          <w:rFonts w:ascii="Arial" w:eastAsia="Arial" w:hAnsi="Arial"/>
          <w:sz w:val="22"/>
          <w:szCs w:val="22"/>
        </w:rPr>
      </w:pPr>
      <w:r w:rsidRPr="001E6362">
        <w:rPr>
          <w:rFonts w:ascii="Arial" w:eastAsia="Arial" w:hAnsi="Arial"/>
          <w:sz w:val="22"/>
          <w:szCs w:val="22"/>
        </w:rPr>
        <w:t>the cost of the service;</w:t>
      </w:r>
    </w:p>
    <w:p w:rsidR="005C14F6" w:rsidRPr="001E6362" w:rsidRDefault="005C14F6" w:rsidP="005C14F6">
      <w:pPr>
        <w:spacing w:line="182" w:lineRule="exact"/>
        <w:jc w:val="both"/>
        <w:rPr>
          <w:rFonts w:ascii="Arial" w:eastAsia="Arial" w:hAnsi="Arial"/>
          <w:sz w:val="22"/>
          <w:szCs w:val="22"/>
        </w:rPr>
      </w:pPr>
    </w:p>
    <w:p w:rsidR="005C14F6" w:rsidRPr="001E6362" w:rsidRDefault="005C14F6" w:rsidP="005C14F6">
      <w:pPr>
        <w:numPr>
          <w:ilvl w:val="1"/>
          <w:numId w:val="15"/>
        </w:numPr>
        <w:tabs>
          <w:tab w:val="left" w:pos="966"/>
        </w:tabs>
        <w:spacing w:line="0" w:lineRule="atLeast"/>
        <w:ind w:left="966" w:hanging="286"/>
        <w:jc w:val="both"/>
        <w:rPr>
          <w:rFonts w:ascii="Arial" w:eastAsia="Arial" w:hAnsi="Arial"/>
          <w:sz w:val="22"/>
          <w:szCs w:val="22"/>
        </w:rPr>
      </w:pPr>
      <w:r w:rsidRPr="001E6362">
        <w:rPr>
          <w:rFonts w:ascii="Arial" w:eastAsia="Arial" w:hAnsi="Arial"/>
          <w:sz w:val="22"/>
          <w:szCs w:val="22"/>
        </w:rPr>
        <w:t>the market; and</w:t>
      </w:r>
    </w:p>
    <w:p w:rsidR="005C14F6" w:rsidRPr="001E6362" w:rsidRDefault="005C14F6" w:rsidP="005C14F6">
      <w:pPr>
        <w:spacing w:line="182" w:lineRule="exact"/>
        <w:jc w:val="both"/>
        <w:rPr>
          <w:rFonts w:ascii="Arial" w:eastAsia="Arial" w:hAnsi="Arial"/>
          <w:sz w:val="22"/>
          <w:szCs w:val="22"/>
        </w:rPr>
      </w:pPr>
    </w:p>
    <w:p w:rsidR="005C14F6" w:rsidRPr="001E6362" w:rsidRDefault="005C14F6" w:rsidP="005C14F6">
      <w:pPr>
        <w:numPr>
          <w:ilvl w:val="1"/>
          <w:numId w:val="15"/>
        </w:numPr>
        <w:tabs>
          <w:tab w:val="left" w:pos="966"/>
        </w:tabs>
        <w:spacing w:line="0" w:lineRule="atLeast"/>
        <w:ind w:left="966" w:hanging="286"/>
        <w:jc w:val="both"/>
        <w:rPr>
          <w:rFonts w:ascii="Arial" w:eastAsia="Arial" w:hAnsi="Arial"/>
          <w:sz w:val="22"/>
          <w:szCs w:val="22"/>
        </w:rPr>
      </w:pPr>
      <w:r w:rsidRPr="001E6362">
        <w:rPr>
          <w:rFonts w:ascii="Arial" w:eastAsia="Arial" w:hAnsi="Arial"/>
          <w:sz w:val="22"/>
          <w:szCs w:val="22"/>
        </w:rPr>
        <w:t>the workforce.</w:t>
      </w:r>
    </w:p>
    <w:p w:rsidR="005C14F6" w:rsidRPr="001E6362" w:rsidRDefault="005C14F6" w:rsidP="005C14F6">
      <w:pPr>
        <w:spacing w:line="302" w:lineRule="exact"/>
        <w:jc w:val="both"/>
        <w:rPr>
          <w:rFonts w:ascii="Arial" w:eastAsia="Arial" w:hAnsi="Arial"/>
          <w:sz w:val="22"/>
          <w:szCs w:val="22"/>
        </w:rPr>
      </w:pPr>
    </w:p>
    <w:p w:rsidR="005C14F6" w:rsidRPr="001E6362" w:rsidRDefault="005C14F6" w:rsidP="005C14F6">
      <w:pPr>
        <w:tabs>
          <w:tab w:val="left" w:pos="686"/>
        </w:tabs>
        <w:spacing w:line="255" w:lineRule="auto"/>
        <w:jc w:val="both"/>
        <w:rPr>
          <w:rFonts w:ascii="Arial" w:eastAsia="Arial" w:hAnsi="Arial"/>
          <w:sz w:val="22"/>
          <w:szCs w:val="22"/>
        </w:rPr>
      </w:pPr>
      <w:r w:rsidRPr="001E6362">
        <w:rPr>
          <w:rFonts w:ascii="Arial" w:eastAsia="Arial" w:hAnsi="Arial"/>
          <w:sz w:val="22"/>
          <w:szCs w:val="22"/>
        </w:rPr>
        <w:t>This analysis may suggest that, where an organisation is satisfied with the quality of a service and that best value is being achieved, the existing supplier / service provider should continue to deliver the service. If an organisation’s contract with the existing supplier / service provider includes an extension option that is within scope, the contract may be extended for the specified period. In the absence of an extension option, any decision by an organisation to renew (or ‘roll forward’) its contract with the existing supplier / service provider must be compliant with public procurement legislation. Legal advice should always be sought in respect of any procurement decisions.</w:t>
      </w:r>
    </w:p>
    <w:p w:rsidR="005C14F6" w:rsidRPr="001E6362" w:rsidRDefault="005C14F6" w:rsidP="005C14F6">
      <w:pPr>
        <w:spacing w:line="200" w:lineRule="exact"/>
        <w:jc w:val="both"/>
        <w:rPr>
          <w:rFonts w:ascii="Arial" w:eastAsia="Arial" w:hAnsi="Arial"/>
          <w:sz w:val="22"/>
          <w:szCs w:val="22"/>
        </w:rPr>
      </w:pPr>
    </w:p>
    <w:p w:rsidR="005C14F6" w:rsidRPr="001E6362" w:rsidRDefault="005C14F6" w:rsidP="005C14F6">
      <w:pPr>
        <w:spacing w:line="354" w:lineRule="exact"/>
        <w:jc w:val="both"/>
        <w:rPr>
          <w:rFonts w:ascii="Arial" w:eastAsia="Arial" w:hAnsi="Arial"/>
          <w:sz w:val="22"/>
          <w:szCs w:val="22"/>
        </w:rPr>
      </w:pPr>
    </w:p>
    <w:p w:rsidR="005C14F6" w:rsidRPr="001E6362" w:rsidRDefault="005C14F6" w:rsidP="005C14F6">
      <w:pPr>
        <w:tabs>
          <w:tab w:val="left" w:pos="686"/>
        </w:tabs>
        <w:spacing w:line="257" w:lineRule="auto"/>
        <w:ind w:right="120"/>
        <w:jc w:val="both"/>
        <w:rPr>
          <w:rFonts w:ascii="Arial" w:eastAsia="Arial" w:hAnsi="Arial"/>
          <w:sz w:val="22"/>
          <w:szCs w:val="22"/>
        </w:rPr>
      </w:pPr>
      <w:r w:rsidRPr="001E6362">
        <w:rPr>
          <w:rFonts w:ascii="Arial" w:eastAsia="Arial" w:hAnsi="Arial"/>
          <w:sz w:val="22"/>
          <w:szCs w:val="22"/>
        </w:rPr>
        <w:t>Alternatively, the analysis may suggest that the requirement should not be advertised at the current time and that a staged approach should instead be adopted. If an organisation decides to adopt a different timetable for advertising the requirement, it should describe this in relevant procurement documents and set out how it intends to move towards competition in the future.</w:t>
      </w:r>
    </w:p>
    <w:p w:rsidR="005C14F6" w:rsidRDefault="005C14F6" w:rsidP="005C14F6">
      <w:pPr>
        <w:tabs>
          <w:tab w:val="left" w:pos="686"/>
        </w:tabs>
        <w:spacing w:line="257" w:lineRule="auto"/>
        <w:ind w:left="686" w:right="120" w:hanging="686"/>
        <w:jc w:val="both"/>
        <w:rPr>
          <w:rFonts w:ascii="Arial" w:eastAsia="Arial" w:hAnsi="Arial"/>
          <w:sz w:val="24"/>
        </w:rPr>
      </w:pPr>
    </w:p>
    <w:p w:rsidR="005C14F6" w:rsidRDefault="005C14F6" w:rsidP="005C14F6">
      <w:pPr>
        <w:rPr>
          <w:rFonts w:ascii="Arial" w:eastAsia="Arial" w:hAnsi="Arial"/>
          <w:b/>
          <w:sz w:val="24"/>
        </w:rPr>
      </w:pPr>
      <w:r>
        <w:rPr>
          <w:rFonts w:ascii="Arial" w:eastAsia="Arial" w:hAnsi="Arial"/>
          <w:b/>
          <w:sz w:val="24"/>
        </w:rPr>
        <w:br w:type="page"/>
      </w:r>
    </w:p>
    <w:p w:rsidR="005C14F6" w:rsidRPr="001E6362" w:rsidRDefault="005C14F6" w:rsidP="005C14F6">
      <w:pPr>
        <w:tabs>
          <w:tab w:val="left" w:pos="966"/>
        </w:tabs>
        <w:spacing w:line="262" w:lineRule="auto"/>
        <w:ind w:left="680" w:right="80"/>
        <w:jc w:val="center"/>
        <w:rPr>
          <w:rFonts w:ascii="Arial" w:eastAsia="Arial" w:hAnsi="Arial"/>
          <w:b/>
          <w:sz w:val="24"/>
        </w:rPr>
      </w:pPr>
      <w:r w:rsidRPr="001E6362">
        <w:rPr>
          <w:rFonts w:ascii="Arial" w:eastAsia="Arial" w:hAnsi="Arial"/>
          <w:b/>
          <w:sz w:val="24"/>
        </w:rPr>
        <w:lastRenderedPageBreak/>
        <w:t>Summary of the rules that apply to care and support contracts at different thresholds</w:t>
      </w:r>
    </w:p>
    <w:p w:rsidR="005C14F6" w:rsidRDefault="005C14F6" w:rsidP="005C14F6">
      <w:pPr>
        <w:tabs>
          <w:tab w:val="left" w:pos="966"/>
        </w:tabs>
        <w:spacing w:line="262" w:lineRule="auto"/>
        <w:ind w:left="680" w:right="80"/>
        <w:jc w:val="both"/>
        <w:rPr>
          <w:rFonts w:ascii="Arial" w:eastAsia="Arial" w:hAnsi="Arial"/>
          <w:sz w:val="24"/>
        </w:rPr>
      </w:pPr>
    </w:p>
    <w:tbl>
      <w:tblPr>
        <w:tblW w:w="0" w:type="auto"/>
        <w:jc w:val="center"/>
        <w:tblLayout w:type="fixed"/>
        <w:tblCellMar>
          <w:left w:w="0" w:type="dxa"/>
          <w:right w:w="0" w:type="dxa"/>
        </w:tblCellMar>
        <w:tblLook w:val="0000" w:firstRow="0" w:lastRow="0" w:firstColumn="0" w:lastColumn="0" w:noHBand="0" w:noVBand="0"/>
      </w:tblPr>
      <w:tblGrid>
        <w:gridCol w:w="1580"/>
        <w:gridCol w:w="3020"/>
        <w:gridCol w:w="4400"/>
      </w:tblGrid>
      <w:tr w:rsidR="005C14F6" w:rsidTr="00B42EC4">
        <w:trPr>
          <w:trHeight w:val="325"/>
          <w:jc w:val="center"/>
        </w:trPr>
        <w:tc>
          <w:tcPr>
            <w:tcW w:w="1580" w:type="dxa"/>
            <w:tcBorders>
              <w:top w:val="single" w:sz="8" w:space="0" w:color="auto"/>
              <w:left w:val="single" w:sz="8" w:space="0" w:color="auto"/>
              <w:right w:val="single" w:sz="8" w:space="0" w:color="auto"/>
            </w:tcBorders>
            <w:shd w:val="clear" w:color="auto" w:fill="auto"/>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€750,000</w:t>
            </w:r>
          </w:p>
        </w:tc>
        <w:tc>
          <w:tcPr>
            <w:tcW w:w="7420" w:type="dxa"/>
            <w:gridSpan w:val="2"/>
            <w:tcBorders>
              <w:top w:val="single" w:sz="8" w:space="0" w:color="auto"/>
              <w:right w:val="single" w:sz="8" w:space="0" w:color="auto"/>
            </w:tcBorders>
            <w:shd w:val="clear" w:color="auto" w:fill="004198"/>
            <w:vAlign w:val="bottom"/>
          </w:tcPr>
          <w:p w:rsidR="005C14F6" w:rsidRPr="001E6362" w:rsidRDefault="005C14F6" w:rsidP="00B42EC4">
            <w:pPr>
              <w:spacing w:line="0" w:lineRule="atLeast"/>
              <w:ind w:left="60"/>
              <w:jc w:val="both"/>
              <w:rPr>
                <w:rFonts w:ascii="Arial" w:eastAsia="Arial" w:hAnsi="Arial"/>
                <w:color w:val="FFFFFF"/>
                <w:sz w:val="22"/>
                <w:szCs w:val="22"/>
              </w:rPr>
            </w:pPr>
            <w:r w:rsidRPr="001E6362">
              <w:rPr>
                <w:rFonts w:ascii="Arial" w:eastAsia="Arial" w:hAnsi="Arial"/>
                <w:color w:val="FFFFFF"/>
                <w:sz w:val="22"/>
                <w:szCs w:val="22"/>
              </w:rPr>
              <w:t>Must be advertised in OJEU and the light touch provisions in</w:t>
            </w:r>
          </w:p>
        </w:tc>
      </w:tr>
      <w:tr w:rsidR="005C14F6" w:rsidTr="00B42EC4">
        <w:trPr>
          <w:trHeight w:val="303"/>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and above</w:t>
            </w:r>
          </w:p>
        </w:tc>
        <w:tc>
          <w:tcPr>
            <w:tcW w:w="7420" w:type="dxa"/>
            <w:gridSpan w:val="2"/>
            <w:tcBorders>
              <w:right w:val="single" w:sz="8" w:space="0" w:color="auto"/>
            </w:tcBorders>
            <w:shd w:val="clear" w:color="auto" w:fill="004198"/>
            <w:vAlign w:val="bottom"/>
          </w:tcPr>
          <w:p w:rsidR="005C14F6" w:rsidRPr="001E6362" w:rsidRDefault="007E369A" w:rsidP="00B42EC4">
            <w:pPr>
              <w:spacing w:line="0" w:lineRule="atLeast"/>
              <w:ind w:left="60"/>
              <w:jc w:val="both"/>
              <w:rPr>
                <w:rFonts w:ascii="Arial" w:eastAsia="Arial" w:hAnsi="Arial"/>
                <w:color w:val="FFFFFF"/>
                <w:sz w:val="22"/>
                <w:szCs w:val="22"/>
              </w:rPr>
            </w:pPr>
            <w:hyperlink r:id="rId8" w:history="1">
              <w:r w:rsidR="005C14F6" w:rsidRPr="001E6362">
                <w:rPr>
                  <w:rFonts w:ascii="Arial" w:eastAsia="Arial" w:hAnsi="Arial"/>
                  <w:color w:val="FFFFFF"/>
                  <w:sz w:val="22"/>
                  <w:szCs w:val="22"/>
                </w:rPr>
                <w:t xml:space="preserve">The Public Contracts (Scotland) Regulations 2015 </w:t>
              </w:r>
            </w:hyperlink>
            <w:r w:rsidR="005C14F6" w:rsidRPr="001E6362">
              <w:rPr>
                <w:rFonts w:ascii="Arial" w:eastAsia="Arial" w:hAnsi="Arial"/>
                <w:color w:val="FFFFFF"/>
                <w:sz w:val="22"/>
                <w:szCs w:val="22"/>
              </w:rPr>
              <w:t>apply</w:t>
            </w:r>
          </w:p>
        </w:tc>
      </w:tr>
      <w:tr w:rsidR="005C14F6" w:rsidTr="00B42EC4">
        <w:trPr>
          <w:trHeight w:val="357"/>
          <w:jc w:val="center"/>
        </w:trPr>
        <w:tc>
          <w:tcPr>
            <w:tcW w:w="1580" w:type="dxa"/>
            <w:tcBorders>
              <w:left w:val="single" w:sz="8" w:space="0" w:color="auto"/>
              <w:bottom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bottom w:val="single" w:sz="8" w:space="0" w:color="auto"/>
              <w:right w:val="single" w:sz="8" w:space="0" w:color="004198"/>
            </w:tcBorders>
            <w:shd w:val="clear" w:color="auto" w:fill="004198"/>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4400" w:type="dxa"/>
            <w:tcBorders>
              <w:bottom w:val="single" w:sz="8" w:space="0" w:color="auto"/>
              <w:right w:val="single" w:sz="8" w:space="0" w:color="auto"/>
            </w:tcBorders>
            <w:shd w:val="clear" w:color="auto" w:fill="004198"/>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305"/>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£50,000 -</w:t>
            </w: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May award without</w:t>
            </w:r>
          </w:p>
        </w:tc>
        <w:tc>
          <w:tcPr>
            <w:tcW w:w="4400" w:type="dxa"/>
            <w:tcBorders>
              <w:right w:val="single" w:sz="8" w:space="0" w:color="auto"/>
            </w:tcBorders>
            <w:shd w:val="clear" w:color="auto" w:fill="94A5CF"/>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May choose to seek offers: in</w:t>
            </w:r>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€750,000</w:t>
            </w: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seeking offers, but</w:t>
            </w:r>
          </w:p>
        </w:tc>
        <w:tc>
          <w:tcPr>
            <w:tcW w:w="4400" w:type="dxa"/>
            <w:tcBorders>
              <w:right w:val="single" w:sz="8" w:space="0" w:color="auto"/>
            </w:tcBorders>
            <w:shd w:val="clear" w:color="auto" w:fill="94A5CF"/>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which case all provisions of the</w:t>
            </w:r>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should consider the</w:t>
            </w:r>
          </w:p>
        </w:tc>
        <w:tc>
          <w:tcPr>
            <w:tcW w:w="4400" w:type="dxa"/>
            <w:tcBorders>
              <w:right w:val="single" w:sz="8" w:space="0" w:color="auto"/>
            </w:tcBorders>
            <w:shd w:val="clear" w:color="auto" w:fill="94A5CF"/>
            <w:vAlign w:val="bottom"/>
          </w:tcPr>
          <w:p w:rsidR="005C14F6" w:rsidRPr="001E6362" w:rsidRDefault="007E369A" w:rsidP="00B42EC4">
            <w:pPr>
              <w:spacing w:line="0" w:lineRule="atLeast"/>
              <w:ind w:left="80"/>
              <w:jc w:val="both"/>
              <w:rPr>
                <w:rFonts w:ascii="Arial" w:eastAsia="Arial" w:hAnsi="Arial"/>
                <w:color w:val="002A7C"/>
                <w:sz w:val="22"/>
                <w:szCs w:val="22"/>
                <w:u w:val="single"/>
              </w:rPr>
            </w:pPr>
            <w:hyperlink r:id="rId9" w:history="1">
              <w:r w:rsidR="005C14F6" w:rsidRPr="001E6362">
                <w:rPr>
                  <w:rFonts w:ascii="Arial" w:eastAsia="Arial" w:hAnsi="Arial"/>
                  <w:color w:val="002A7C"/>
                  <w:sz w:val="22"/>
                  <w:szCs w:val="22"/>
                  <w:u w:val="single"/>
                </w:rPr>
                <w:t>Procurement Reform (Scotland) Act</w:t>
              </w:r>
            </w:hyperlink>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proofErr w:type="spellStart"/>
            <w:r w:rsidRPr="001E6362">
              <w:rPr>
                <w:rFonts w:ascii="Arial" w:eastAsia="Arial" w:hAnsi="Arial"/>
                <w:sz w:val="22"/>
                <w:szCs w:val="22"/>
              </w:rPr>
              <w:t>TFEU</w:t>
            </w:r>
            <w:proofErr w:type="spellEnd"/>
            <w:r w:rsidRPr="001E6362">
              <w:rPr>
                <w:rFonts w:ascii="Arial" w:eastAsia="Arial" w:hAnsi="Arial"/>
                <w:sz w:val="22"/>
                <w:szCs w:val="22"/>
              </w:rPr>
              <w:t xml:space="preserve"> fundamental</w:t>
            </w:r>
          </w:p>
        </w:tc>
        <w:tc>
          <w:tcPr>
            <w:tcW w:w="4400" w:type="dxa"/>
            <w:tcBorders>
              <w:right w:val="single" w:sz="8" w:space="0" w:color="auto"/>
            </w:tcBorders>
            <w:shd w:val="clear" w:color="auto" w:fill="94A5CF"/>
            <w:vAlign w:val="bottom"/>
          </w:tcPr>
          <w:p w:rsidR="005C14F6" w:rsidRPr="001E6362" w:rsidRDefault="007E369A" w:rsidP="00B42EC4">
            <w:pPr>
              <w:spacing w:line="0" w:lineRule="atLeast"/>
              <w:ind w:left="80"/>
              <w:jc w:val="both"/>
              <w:rPr>
                <w:rFonts w:ascii="Arial" w:eastAsia="Arial" w:hAnsi="Arial"/>
                <w:color w:val="000000"/>
                <w:sz w:val="22"/>
                <w:szCs w:val="22"/>
              </w:rPr>
            </w:pPr>
            <w:hyperlink r:id="rId10" w:history="1">
              <w:r w:rsidR="005C14F6" w:rsidRPr="001E6362">
                <w:rPr>
                  <w:rFonts w:ascii="Arial" w:eastAsia="Arial" w:hAnsi="Arial"/>
                  <w:color w:val="002A7C"/>
                  <w:sz w:val="22"/>
                  <w:szCs w:val="22"/>
                  <w:u w:val="single"/>
                </w:rPr>
                <w:t>2014</w:t>
              </w:r>
              <w:r w:rsidR="005C14F6" w:rsidRPr="001E6362">
                <w:rPr>
                  <w:rFonts w:ascii="Arial" w:eastAsia="Arial" w:hAnsi="Arial"/>
                  <w:color w:val="002A7C"/>
                  <w:sz w:val="22"/>
                  <w:szCs w:val="22"/>
                </w:rPr>
                <w:t xml:space="preserve"> </w:t>
              </w:r>
            </w:hyperlink>
            <w:r w:rsidR="005C14F6" w:rsidRPr="001E6362">
              <w:rPr>
                <w:rFonts w:ascii="Arial" w:eastAsia="Arial" w:hAnsi="Arial"/>
                <w:color w:val="000000"/>
                <w:sz w:val="22"/>
                <w:szCs w:val="22"/>
              </w:rPr>
              <w:t>apply</w:t>
            </w:r>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principles where</w:t>
            </w:r>
          </w:p>
        </w:tc>
        <w:tc>
          <w:tcPr>
            <w:tcW w:w="4400" w:type="dxa"/>
            <w:tcBorders>
              <w:right w:val="single" w:sz="8" w:space="0" w:color="auto"/>
            </w:tcBorders>
            <w:shd w:val="clear" w:color="auto" w:fill="94A5CF"/>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105"/>
          <w:jc w:val="center"/>
        </w:trPr>
        <w:tc>
          <w:tcPr>
            <w:tcW w:w="1580" w:type="dxa"/>
            <w:tcBorders>
              <w:left w:val="single" w:sz="8" w:space="0" w:color="auto"/>
              <w:bottom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vMerge w:val="restart"/>
            <w:tcBorders>
              <w:bottom w:val="single" w:sz="8" w:space="0" w:color="E4E7F2"/>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relevant. For contracts</w:t>
            </w:r>
          </w:p>
        </w:tc>
        <w:tc>
          <w:tcPr>
            <w:tcW w:w="4400" w:type="dxa"/>
            <w:tcBorders>
              <w:bottom w:val="single" w:sz="8" w:space="0" w:color="auto"/>
              <w:right w:val="single" w:sz="8" w:space="0" w:color="auto"/>
            </w:tcBorders>
            <w:shd w:val="clear" w:color="auto" w:fill="94A5CF"/>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276"/>
          <w:jc w:val="center"/>
        </w:trPr>
        <w:tc>
          <w:tcPr>
            <w:tcW w:w="1580" w:type="dxa"/>
            <w:vMerge w:val="restart"/>
            <w:tcBorders>
              <w:left w:val="single" w:sz="8" w:space="0" w:color="auto"/>
              <w:right w:val="single" w:sz="8" w:space="0" w:color="auto"/>
            </w:tcBorders>
            <w:shd w:val="clear" w:color="auto" w:fill="auto"/>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Below</w:t>
            </w:r>
          </w:p>
        </w:tc>
        <w:tc>
          <w:tcPr>
            <w:tcW w:w="3020" w:type="dxa"/>
            <w:vMerge/>
            <w:tcBorders>
              <w:right w:val="single" w:sz="8" w:space="0" w:color="auto"/>
            </w:tcBorders>
            <w:shd w:val="clear" w:color="auto" w:fill="E4E7F2"/>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4400" w:type="dxa"/>
            <w:vMerge w:val="restart"/>
            <w:tcBorders>
              <w:right w:val="single" w:sz="8" w:space="0" w:color="auto"/>
            </w:tcBorders>
            <w:shd w:val="clear" w:color="auto" w:fill="auto"/>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Non-regulated procurement</w:t>
            </w:r>
          </w:p>
        </w:tc>
      </w:tr>
      <w:tr w:rsidR="005C14F6" w:rsidTr="00B42EC4">
        <w:trPr>
          <w:trHeight w:val="237"/>
          <w:jc w:val="center"/>
        </w:trPr>
        <w:tc>
          <w:tcPr>
            <w:tcW w:w="1580" w:type="dxa"/>
            <w:vMerge/>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right w:val="single" w:sz="8" w:space="0" w:color="auto"/>
            </w:tcBorders>
            <w:shd w:val="clear" w:color="auto" w:fill="E4E7F2"/>
            <w:vAlign w:val="bottom"/>
          </w:tcPr>
          <w:p w:rsidR="005C14F6" w:rsidRPr="001E6362" w:rsidRDefault="005C14F6" w:rsidP="00B42EC4">
            <w:pPr>
              <w:spacing w:line="237" w:lineRule="exact"/>
              <w:ind w:left="60"/>
              <w:jc w:val="both"/>
              <w:rPr>
                <w:rFonts w:ascii="Arial" w:eastAsia="Arial" w:hAnsi="Arial"/>
                <w:sz w:val="22"/>
                <w:szCs w:val="22"/>
              </w:rPr>
            </w:pPr>
            <w:r w:rsidRPr="001E6362">
              <w:rPr>
                <w:rFonts w:ascii="Arial" w:eastAsia="Arial" w:hAnsi="Arial"/>
                <w:sz w:val="22"/>
                <w:szCs w:val="22"/>
              </w:rPr>
              <w:t>over £50,000, a contract</w:t>
            </w:r>
          </w:p>
        </w:tc>
        <w:tc>
          <w:tcPr>
            <w:tcW w:w="4400" w:type="dxa"/>
            <w:vMerge/>
            <w:tcBorders>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ind w:left="80"/>
              <w:jc w:val="both"/>
              <w:rPr>
                <w:rFonts w:ascii="Arial" w:eastAsia="Arial" w:hAnsi="Arial"/>
                <w:sz w:val="22"/>
                <w:szCs w:val="22"/>
              </w:rPr>
            </w:pPr>
            <w:r w:rsidRPr="001E6362">
              <w:rPr>
                <w:rFonts w:ascii="Arial" w:eastAsia="Arial" w:hAnsi="Arial"/>
                <w:sz w:val="22"/>
                <w:szCs w:val="22"/>
              </w:rPr>
              <w:t>£50,000</w:t>
            </w:r>
          </w:p>
        </w:tc>
        <w:tc>
          <w:tcPr>
            <w:tcW w:w="3020" w:type="dxa"/>
            <w:vMerge w:val="restart"/>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award notice must be</w:t>
            </w:r>
          </w:p>
        </w:tc>
        <w:tc>
          <w:tcPr>
            <w:tcW w:w="4400" w:type="dxa"/>
            <w:tcBorders>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53"/>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vMerge/>
            <w:tcBorders>
              <w:right w:val="single" w:sz="8" w:space="0" w:color="auto"/>
            </w:tcBorders>
            <w:shd w:val="clear" w:color="auto" w:fill="E4E7F2"/>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4400" w:type="dxa"/>
            <w:tcBorders>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published on PCS</w:t>
            </w:r>
          </w:p>
        </w:tc>
        <w:tc>
          <w:tcPr>
            <w:tcW w:w="4400" w:type="dxa"/>
            <w:tcBorders>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and certain other</w:t>
            </w:r>
          </w:p>
        </w:tc>
        <w:tc>
          <w:tcPr>
            <w:tcW w:w="4400" w:type="dxa"/>
            <w:tcBorders>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290"/>
          <w:jc w:val="center"/>
        </w:trPr>
        <w:tc>
          <w:tcPr>
            <w:tcW w:w="1580" w:type="dxa"/>
            <w:tcBorders>
              <w:left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rules apply</w:t>
            </w:r>
          </w:p>
        </w:tc>
        <w:tc>
          <w:tcPr>
            <w:tcW w:w="4400" w:type="dxa"/>
            <w:tcBorders>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r>
      <w:tr w:rsidR="005C14F6" w:rsidTr="00B42EC4">
        <w:trPr>
          <w:trHeight w:val="307"/>
          <w:jc w:val="center"/>
        </w:trPr>
        <w:tc>
          <w:tcPr>
            <w:tcW w:w="1580" w:type="dxa"/>
            <w:tcBorders>
              <w:left w:val="single" w:sz="8" w:space="0" w:color="auto"/>
              <w:bottom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c>
          <w:tcPr>
            <w:tcW w:w="3020" w:type="dxa"/>
            <w:tcBorders>
              <w:bottom w:val="single" w:sz="8" w:space="0" w:color="auto"/>
              <w:right w:val="single" w:sz="8" w:space="0" w:color="auto"/>
            </w:tcBorders>
            <w:shd w:val="clear" w:color="auto" w:fill="E4E7F2"/>
            <w:vAlign w:val="bottom"/>
          </w:tcPr>
          <w:p w:rsidR="005C14F6" w:rsidRPr="001E6362" w:rsidRDefault="005C14F6" w:rsidP="00B42EC4">
            <w:pPr>
              <w:spacing w:line="0" w:lineRule="atLeast"/>
              <w:ind w:left="60"/>
              <w:jc w:val="both"/>
              <w:rPr>
                <w:rFonts w:ascii="Arial" w:eastAsia="Arial" w:hAnsi="Arial"/>
                <w:sz w:val="22"/>
                <w:szCs w:val="22"/>
              </w:rPr>
            </w:pPr>
            <w:r w:rsidRPr="001E6362">
              <w:rPr>
                <w:rFonts w:ascii="Arial" w:eastAsia="Arial" w:hAnsi="Arial"/>
                <w:sz w:val="22"/>
                <w:szCs w:val="22"/>
              </w:rPr>
              <w:t>(</w:t>
            </w:r>
            <w:r w:rsidRPr="001E6362">
              <w:rPr>
                <w:rFonts w:ascii="Arial" w:eastAsia="Arial" w:hAnsi="Arial"/>
                <w:b/>
                <w:sz w:val="22"/>
                <w:szCs w:val="22"/>
              </w:rPr>
              <w:t>see</w:t>
            </w:r>
            <w:r w:rsidRPr="001E6362">
              <w:rPr>
                <w:rFonts w:ascii="Arial" w:eastAsia="Arial" w:hAnsi="Arial"/>
                <w:sz w:val="22"/>
                <w:szCs w:val="22"/>
              </w:rPr>
              <w:t xml:space="preserve"> </w:t>
            </w:r>
            <w:r w:rsidRPr="001E6362">
              <w:rPr>
                <w:rFonts w:ascii="Arial" w:eastAsia="Arial" w:hAnsi="Arial"/>
                <w:b/>
                <w:color w:val="002A7C"/>
                <w:sz w:val="22"/>
                <w:szCs w:val="22"/>
              </w:rPr>
              <w:t>paragraph 8.12 of Guidance on the Procurement of Care and Support Services 2016 (Best-Practice</w:t>
            </w:r>
            <w:r w:rsidRPr="001E6362">
              <w:rPr>
                <w:rFonts w:ascii="Arial" w:eastAsia="Arial" w:hAnsi="Arial"/>
                <w:sz w:val="22"/>
                <w:szCs w:val="22"/>
              </w:rPr>
              <w:t>).</w:t>
            </w:r>
          </w:p>
        </w:tc>
        <w:tc>
          <w:tcPr>
            <w:tcW w:w="4400" w:type="dxa"/>
            <w:tcBorders>
              <w:bottom w:val="single" w:sz="8" w:space="0" w:color="auto"/>
              <w:right w:val="single" w:sz="8" w:space="0" w:color="auto"/>
            </w:tcBorders>
            <w:shd w:val="clear" w:color="auto" w:fill="auto"/>
            <w:vAlign w:val="bottom"/>
          </w:tcPr>
          <w:p w:rsidR="005C14F6" w:rsidRPr="001E6362" w:rsidRDefault="005C14F6" w:rsidP="00B42EC4">
            <w:pPr>
              <w:spacing w:line="0" w:lineRule="atLeast"/>
              <w:jc w:val="both"/>
              <w:rPr>
                <w:rFonts w:ascii="Times New Roman" w:eastAsia="Times New Roman" w:hAnsi="Times New Roman"/>
                <w:sz w:val="22"/>
                <w:szCs w:val="22"/>
              </w:rPr>
            </w:pPr>
          </w:p>
        </w:tc>
      </w:tr>
    </w:tbl>
    <w:p w:rsidR="005C14F6" w:rsidRDefault="005C14F6" w:rsidP="005C14F6">
      <w:pPr>
        <w:tabs>
          <w:tab w:val="left" w:pos="686"/>
        </w:tabs>
        <w:spacing w:line="257" w:lineRule="auto"/>
        <w:ind w:left="686" w:right="120" w:hanging="686"/>
        <w:jc w:val="both"/>
        <w:rPr>
          <w:rFonts w:ascii="Arial" w:eastAsia="Arial" w:hAnsi="Arial"/>
          <w:sz w:val="24"/>
        </w:rPr>
      </w:pPr>
    </w:p>
    <w:p w:rsidR="005C14F6" w:rsidRPr="001E6362" w:rsidRDefault="005C14F6" w:rsidP="005C14F6">
      <w:pPr>
        <w:spacing w:line="0" w:lineRule="atLeast"/>
        <w:ind w:left="6"/>
        <w:jc w:val="center"/>
        <w:rPr>
          <w:rFonts w:ascii="Arial" w:eastAsia="Arial" w:hAnsi="Arial"/>
          <w:b/>
          <w:sz w:val="28"/>
        </w:rPr>
      </w:pPr>
    </w:p>
    <w:p w:rsidR="005C14F6" w:rsidRPr="001E6362" w:rsidRDefault="005C14F6" w:rsidP="005C14F6">
      <w:pPr>
        <w:spacing w:line="0" w:lineRule="atLeast"/>
        <w:ind w:left="6"/>
        <w:jc w:val="center"/>
        <w:rPr>
          <w:rFonts w:ascii="Arial" w:eastAsia="Arial" w:hAnsi="Arial"/>
          <w:b/>
          <w:sz w:val="24"/>
          <w:szCs w:val="22"/>
        </w:rPr>
      </w:pPr>
      <w:r w:rsidRPr="001E6362">
        <w:rPr>
          <w:rFonts w:ascii="Arial" w:eastAsia="Arial" w:hAnsi="Arial"/>
          <w:b/>
          <w:sz w:val="24"/>
          <w:szCs w:val="22"/>
        </w:rPr>
        <w:t>Risk of legal challenge for breach of the procurement rules</w:t>
      </w:r>
    </w:p>
    <w:p w:rsidR="005C14F6" w:rsidRPr="001E6362" w:rsidRDefault="005C14F6" w:rsidP="005C14F6">
      <w:pPr>
        <w:tabs>
          <w:tab w:val="left" w:pos="284"/>
        </w:tabs>
        <w:spacing w:line="184" w:lineRule="exact"/>
        <w:jc w:val="both"/>
        <w:rPr>
          <w:rFonts w:ascii="Arial" w:eastAsia="Times New Roman" w:hAnsi="Arial"/>
          <w:sz w:val="22"/>
          <w:szCs w:val="22"/>
        </w:rPr>
      </w:pPr>
    </w:p>
    <w:p w:rsidR="005C14F6" w:rsidRPr="001E6362" w:rsidRDefault="005C14F6" w:rsidP="005C14F6">
      <w:pPr>
        <w:tabs>
          <w:tab w:val="left" w:pos="0"/>
          <w:tab w:val="left" w:pos="284"/>
        </w:tabs>
        <w:spacing w:line="254" w:lineRule="auto"/>
        <w:ind w:left="6" w:right="160"/>
        <w:jc w:val="both"/>
        <w:rPr>
          <w:rFonts w:ascii="Arial" w:eastAsia="Arial" w:hAnsi="Arial"/>
          <w:color w:val="002A7C"/>
          <w:sz w:val="22"/>
          <w:szCs w:val="22"/>
        </w:rPr>
      </w:pPr>
      <w:r w:rsidRPr="001E6362">
        <w:rPr>
          <w:rFonts w:ascii="Arial" w:eastAsia="Arial" w:hAnsi="Arial"/>
          <w:sz w:val="22"/>
          <w:szCs w:val="22"/>
        </w:rPr>
        <w:t>A public body should assess the risk of legal challenge if it decides not to advertise the requirement and proceeds to award the contract or framework agreement without competition. A legal challenge may have serious implications for procurement activity and future service delivery. For example, for a ‘light-touch’ contract w</w:t>
      </w:r>
      <w:r w:rsidR="007E369A">
        <w:rPr>
          <w:rFonts w:ascii="Arial" w:eastAsia="Arial" w:hAnsi="Arial"/>
          <w:sz w:val="22"/>
          <w:szCs w:val="22"/>
        </w:rPr>
        <w:t>ith a value of at least £663,540</w:t>
      </w:r>
      <w:r w:rsidRPr="001E6362">
        <w:rPr>
          <w:rFonts w:ascii="Arial" w:eastAsia="Arial" w:hAnsi="Arial"/>
          <w:sz w:val="22"/>
          <w:szCs w:val="22"/>
        </w:rPr>
        <w:t xml:space="preserve">, if a court grants an ineffectiveness order together with damages, legal costs and/or compensation, this may divert monies from service provision and may cause significant disruption and uncertainty to people who use services. Also, standstill rules apply to care and support contracts of that value. The relevant legislation is </w:t>
      </w:r>
      <w:hyperlink r:id="rId11" w:history="1">
        <w:r w:rsidRPr="001E6362">
          <w:rPr>
            <w:rFonts w:ascii="Arial" w:eastAsia="Arial" w:hAnsi="Arial"/>
            <w:color w:val="002A7C"/>
            <w:sz w:val="22"/>
            <w:szCs w:val="22"/>
            <w:u w:val="single"/>
          </w:rPr>
          <w:t>part 3 of the Public Contracts (Scotland)</w:t>
        </w:r>
      </w:hyperlink>
      <w:r w:rsidRPr="001E6362">
        <w:rPr>
          <w:rFonts w:ascii="Arial" w:eastAsia="Arial" w:hAnsi="Arial"/>
          <w:sz w:val="22"/>
          <w:szCs w:val="22"/>
        </w:rPr>
        <w:t xml:space="preserve"> </w:t>
      </w:r>
      <w:hyperlink r:id="rId12" w:history="1">
        <w:r w:rsidRPr="001E6362">
          <w:rPr>
            <w:rFonts w:ascii="Arial" w:eastAsia="Arial" w:hAnsi="Arial"/>
            <w:color w:val="002A7C"/>
            <w:sz w:val="22"/>
            <w:szCs w:val="22"/>
            <w:u w:val="single"/>
          </w:rPr>
          <w:t>Regulations 2015</w:t>
        </w:r>
      </w:hyperlink>
      <w:r w:rsidRPr="001E6362">
        <w:rPr>
          <w:rFonts w:ascii="Arial" w:eastAsia="Arial" w:hAnsi="Arial"/>
          <w:color w:val="000000"/>
          <w:sz w:val="22"/>
          <w:szCs w:val="22"/>
        </w:rPr>
        <w:t>.</w:t>
      </w:r>
    </w:p>
    <w:p w:rsidR="005C14F6" w:rsidRPr="001E6362" w:rsidRDefault="005C14F6" w:rsidP="005C14F6">
      <w:pPr>
        <w:spacing w:line="200" w:lineRule="exact"/>
        <w:jc w:val="both"/>
        <w:rPr>
          <w:rFonts w:ascii="Arial" w:eastAsia="Arial" w:hAnsi="Arial"/>
          <w:sz w:val="22"/>
          <w:szCs w:val="22"/>
        </w:rPr>
      </w:pPr>
    </w:p>
    <w:p w:rsidR="005C14F6" w:rsidRPr="001E6362" w:rsidRDefault="005C14F6" w:rsidP="005C14F6">
      <w:pPr>
        <w:spacing w:line="359" w:lineRule="exact"/>
        <w:jc w:val="both"/>
        <w:rPr>
          <w:rFonts w:ascii="Arial" w:eastAsia="Arial" w:hAnsi="Arial"/>
          <w:sz w:val="22"/>
          <w:szCs w:val="22"/>
        </w:rPr>
      </w:pPr>
    </w:p>
    <w:p w:rsidR="005C14F6" w:rsidRPr="001E6362" w:rsidRDefault="005C14F6" w:rsidP="005C14F6">
      <w:pPr>
        <w:spacing w:line="275" w:lineRule="auto"/>
        <w:ind w:left="6" w:right="300"/>
        <w:jc w:val="center"/>
        <w:rPr>
          <w:rFonts w:ascii="Arial" w:eastAsia="Arial" w:hAnsi="Arial"/>
          <w:b/>
          <w:sz w:val="24"/>
          <w:szCs w:val="22"/>
        </w:rPr>
      </w:pPr>
      <w:r w:rsidRPr="001E6362">
        <w:rPr>
          <w:rFonts w:ascii="Arial" w:eastAsia="Arial" w:hAnsi="Arial"/>
          <w:b/>
          <w:sz w:val="24"/>
          <w:szCs w:val="22"/>
        </w:rPr>
        <w:t>Application of legal remedies to contracts and framework agreements services covered under the ‘light-touch’ regime</w:t>
      </w:r>
    </w:p>
    <w:p w:rsidR="005C14F6" w:rsidRPr="001E6362" w:rsidRDefault="005C14F6" w:rsidP="005C14F6">
      <w:pPr>
        <w:spacing w:line="118" w:lineRule="exact"/>
        <w:jc w:val="both"/>
        <w:rPr>
          <w:rFonts w:ascii="Arial" w:eastAsia="Arial" w:hAnsi="Arial"/>
          <w:sz w:val="22"/>
          <w:szCs w:val="22"/>
        </w:rPr>
      </w:pPr>
    </w:p>
    <w:p w:rsidR="005C14F6" w:rsidRPr="001E6362" w:rsidRDefault="005C14F6" w:rsidP="005C14F6">
      <w:pPr>
        <w:tabs>
          <w:tab w:val="left" w:pos="0"/>
        </w:tabs>
        <w:spacing w:line="256" w:lineRule="auto"/>
        <w:ind w:left="6" w:right="20"/>
        <w:jc w:val="both"/>
        <w:rPr>
          <w:rFonts w:ascii="Arial" w:eastAsia="Arial" w:hAnsi="Arial"/>
          <w:sz w:val="22"/>
          <w:szCs w:val="22"/>
        </w:rPr>
      </w:pPr>
      <w:r w:rsidRPr="001E6362">
        <w:rPr>
          <w:rFonts w:ascii="Arial" w:eastAsia="Arial" w:hAnsi="Arial"/>
          <w:sz w:val="22"/>
          <w:szCs w:val="22"/>
        </w:rPr>
        <w:t xml:space="preserve">The award of a contract or framework agreement for one of these services may be challenged on the basis that a public body has failed to ensure publication of the contract opportunity on the OJEU and follow a procedure sufficient to ensure observance of the </w:t>
      </w:r>
      <w:proofErr w:type="spellStart"/>
      <w:r w:rsidRPr="001E6362">
        <w:rPr>
          <w:rFonts w:ascii="Arial" w:eastAsia="Arial" w:hAnsi="Arial"/>
          <w:sz w:val="22"/>
          <w:szCs w:val="22"/>
        </w:rPr>
        <w:t>TFEU</w:t>
      </w:r>
      <w:proofErr w:type="spellEnd"/>
      <w:r w:rsidRPr="001E6362">
        <w:rPr>
          <w:rFonts w:ascii="Arial" w:eastAsia="Arial" w:hAnsi="Arial"/>
          <w:sz w:val="22"/>
          <w:szCs w:val="22"/>
        </w:rPr>
        <w:t xml:space="preserve"> fundamental principles. In relation to a contract or framework agreement worth at least </w:t>
      </w:r>
      <w:r w:rsidR="007E369A">
        <w:rPr>
          <w:rFonts w:ascii="Arial" w:eastAsia="Arial" w:hAnsi="Arial"/>
          <w:sz w:val="22"/>
          <w:szCs w:val="22"/>
        </w:rPr>
        <w:t>£</w:t>
      </w:r>
      <w:proofErr w:type="spellStart"/>
      <w:r w:rsidR="007E369A">
        <w:rPr>
          <w:rFonts w:ascii="Arial" w:eastAsia="Arial" w:hAnsi="Arial"/>
          <w:sz w:val="22"/>
          <w:szCs w:val="22"/>
        </w:rPr>
        <w:t>663,540</w:t>
      </w:r>
      <w:r w:rsidRPr="001E6362">
        <w:rPr>
          <w:rFonts w:ascii="Arial" w:eastAsia="Arial" w:hAnsi="Arial"/>
          <w:sz w:val="22"/>
          <w:szCs w:val="22"/>
        </w:rPr>
        <w:t>such</w:t>
      </w:r>
      <w:proofErr w:type="spellEnd"/>
      <w:r w:rsidRPr="001E6362">
        <w:rPr>
          <w:rFonts w:ascii="Arial" w:eastAsia="Arial" w:hAnsi="Arial"/>
          <w:sz w:val="22"/>
          <w:szCs w:val="22"/>
        </w:rPr>
        <w:t xml:space="preserve"> a challenge would be pursued as a commercial action.</w:t>
      </w:r>
    </w:p>
    <w:p w:rsidR="005C14F6" w:rsidRPr="001E6362" w:rsidRDefault="005C14F6" w:rsidP="005C14F6">
      <w:pPr>
        <w:spacing w:line="200" w:lineRule="exact"/>
        <w:jc w:val="both"/>
        <w:rPr>
          <w:rFonts w:ascii="Arial" w:eastAsia="Arial" w:hAnsi="Arial"/>
          <w:sz w:val="24"/>
          <w:szCs w:val="22"/>
        </w:rPr>
      </w:pPr>
    </w:p>
    <w:p w:rsidR="005C14F6" w:rsidRPr="001E6362" w:rsidRDefault="005C14F6" w:rsidP="005C14F6">
      <w:pPr>
        <w:jc w:val="both"/>
        <w:rPr>
          <w:rFonts w:ascii="Arial" w:hAnsi="Arial"/>
          <w:sz w:val="24"/>
          <w:szCs w:val="22"/>
        </w:rPr>
      </w:pPr>
      <w:bookmarkStart w:id="0" w:name="page48"/>
      <w:bookmarkEnd w:id="0"/>
    </w:p>
    <w:p w:rsidR="005C14F6" w:rsidRPr="001E6362" w:rsidRDefault="005C14F6" w:rsidP="005C14F6">
      <w:pPr>
        <w:tabs>
          <w:tab w:val="left" w:pos="0"/>
        </w:tabs>
        <w:spacing w:line="273" w:lineRule="auto"/>
        <w:ind w:right="-46"/>
        <w:jc w:val="center"/>
        <w:rPr>
          <w:rFonts w:ascii="Arial" w:eastAsia="Arial" w:hAnsi="Arial"/>
          <w:b/>
          <w:sz w:val="24"/>
          <w:szCs w:val="22"/>
        </w:rPr>
      </w:pPr>
      <w:r w:rsidRPr="001E6362">
        <w:rPr>
          <w:rFonts w:ascii="Arial" w:eastAsia="Arial" w:hAnsi="Arial"/>
          <w:b/>
          <w:sz w:val="24"/>
          <w:szCs w:val="22"/>
        </w:rPr>
        <w:lastRenderedPageBreak/>
        <w:t xml:space="preserve">Specific rules for care and support contracts between £50,000 and €750,000 – award </w:t>
      </w:r>
      <w:r w:rsidRPr="001E6362">
        <w:rPr>
          <w:rFonts w:ascii="Arial" w:eastAsia="Arial" w:hAnsi="Arial"/>
          <w:b/>
          <w:sz w:val="24"/>
          <w:szCs w:val="22"/>
          <w:u w:val="single"/>
        </w:rPr>
        <w:t>with</w:t>
      </w:r>
      <w:r w:rsidRPr="001E6362">
        <w:rPr>
          <w:rFonts w:ascii="Arial" w:eastAsia="Arial" w:hAnsi="Arial"/>
          <w:b/>
          <w:sz w:val="24"/>
          <w:szCs w:val="22"/>
        </w:rPr>
        <w:t xml:space="preserve"> advertising</w:t>
      </w:r>
    </w:p>
    <w:p w:rsidR="005C14F6" w:rsidRPr="001E6362" w:rsidRDefault="005C14F6" w:rsidP="005C14F6">
      <w:pPr>
        <w:tabs>
          <w:tab w:val="left" w:pos="0"/>
        </w:tabs>
        <w:spacing w:line="240" w:lineRule="exact"/>
        <w:ind w:right="-46"/>
        <w:jc w:val="both"/>
        <w:rPr>
          <w:rFonts w:ascii="Arial" w:eastAsia="Times New Roman" w:hAnsi="Arial"/>
          <w:sz w:val="22"/>
          <w:szCs w:val="22"/>
        </w:rPr>
      </w:pPr>
    </w:p>
    <w:p w:rsidR="005C14F6" w:rsidRPr="001E6362" w:rsidRDefault="005C14F6" w:rsidP="005C14F6">
      <w:pPr>
        <w:tabs>
          <w:tab w:val="left" w:pos="0"/>
        </w:tabs>
        <w:spacing w:line="263" w:lineRule="auto"/>
        <w:ind w:right="-46"/>
        <w:jc w:val="both"/>
        <w:rPr>
          <w:rFonts w:ascii="Arial" w:eastAsia="Arial" w:hAnsi="Arial"/>
          <w:sz w:val="22"/>
          <w:szCs w:val="22"/>
        </w:rPr>
      </w:pPr>
      <w:r w:rsidRPr="001E6362">
        <w:rPr>
          <w:rFonts w:ascii="Arial" w:eastAsia="Arial" w:hAnsi="Arial"/>
          <w:sz w:val="22"/>
          <w:szCs w:val="22"/>
        </w:rPr>
        <w:t xml:space="preserve">For contracts or framework agreements with a value of £50,000 or more, but less than </w:t>
      </w:r>
      <w:r w:rsidR="007E369A">
        <w:rPr>
          <w:rFonts w:ascii="Arial" w:eastAsia="Arial" w:hAnsi="Arial"/>
          <w:sz w:val="22"/>
          <w:szCs w:val="22"/>
        </w:rPr>
        <w:t>£663,540</w:t>
      </w:r>
      <w:r w:rsidRPr="001E6362">
        <w:rPr>
          <w:rFonts w:ascii="Arial" w:eastAsia="Arial" w:hAnsi="Arial"/>
          <w:sz w:val="22"/>
          <w:szCs w:val="22"/>
        </w:rPr>
        <w:t>, an organisation should decide, on a case-by-case basis, whether or not to seek offers in relation to the proposed contract.</w:t>
      </w:r>
    </w:p>
    <w:p w:rsidR="005C14F6" w:rsidRPr="001E6362" w:rsidRDefault="005C14F6" w:rsidP="005C14F6">
      <w:pPr>
        <w:tabs>
          <w:tab w:val="left" w:pos="0"/>
        </w:tabs>
        <w:spacing w:line="252" w:lineRule="exact"/>
        <w:ind w:right="-46"/>
        <w:jc w:val="both"/>
        <w:rPr>
          <w:rFonts w:ascii="Arial" w:eastAsia="Arial" w:hAnsi="Arial"/>
          <w:sz w:val="22"/>
          <w:szCs w:val="22"/>
        </w:rPr>
      </w:pPr>
    </w:p>
    <w:p w:rsidR="005C14F6" w:rsidRPr="001E6362" w:rsidRDefault="005C14F6" w:rsidP="005C14F6">
      <w:pPr>
        <w:tabs>
          <w:tab w:val="left" w:pos="0"/>
        </w:tabs>
        <w:spacing w:line="259" w:lineRule="auto"/>
        <w:ind w:right="-46"/>
        <w:jc w:val="both"/>
        <w:rPr>
          <w:rFonts w:ascii="Arial" w:eastAsia="Arial" w:hAnsi="Arial"/>
          <w:sz w:val="22"/>
          <w:szCs w:val="22"/>
        </w:rPr>
      </w:pPr>
      <w:r w:rsidRPr="001E6362">
        <w:rPr>
          <w:rFonts w:ascii="Arial" w:eastAsia="Arial" w:hAnsi="Arial"/>
          <w:sz w:val="22"/>
          <w:szCs w:val="22"/>
        </w:rPr>
        <w:t>The flowchart at the end of this document provides some illustration of the sort of things that might be considered by an organisation when deciding whether to seek offers for contracts of this value. A number of factors may influence this decision, as explained below, but are not limited to:</w:t>
      </w:r>
    </w:p>
    <w:p w:rsidR="005C14F6" w:rsidRPr="001E6362" w:rsidRDefault="005C14F6" w:rsidP="005C14F6">
      <w:pPr>
        <w:tabs>
          <w:tab w:val="left" w:pos="0"/>
        </w:tabs>
        <w:spacing w:line="80" w:lineRule="exact"/>
        <w:ind w:right="-46"/>
        <w:jc w:val="both"/>
        <w:rPr>
          <w:rFonts w:ascii="Arial" w:eastAsia="Arial" w:hAnsi="Arial"/>
          <w:sz w:val="22"/>
          <w:szCs w:val="22"/>
        </w:rPr>
      </w:pPr>
    </w:p>
    <w:p w:rsidR="005C14F6" w:rsidRPr="001E6362" w:rsidRDefault="005C14F6" w:rsidP="005C14F6">
      <w:pPr>
        <w:numPr>
          <w:ilvl w:val="1"/>
          <w:numId w:val="5"/>
        </w:numPr>
        <w:tabs>
          <w:tab w:val="left" w:pos="567"/>
          <w:tab w:val="left" w:pos="966"/>
        </w:tabs>
        <w:spacing w:line="0" w:lineRule="atLeast"/>
        <w:ind w:left="567" w:right="-46" w:hanging="286"/>
        <w:jc w:val="both"/>
        <w:rPr>
          <w:rFonts w:ascii="Arial" w:eastAsia="Arial" w:hAnsi="Arial"/>
          <w:sz w:val="22"/>
          <w:szCs w:val="22"/>
        </w:rPr>
      </w:pPr>
      <w:r w:rsidRPr="001E6362">
        <w:rPr>
          <w:rFonts w:ascii="Arial" w:eastAsia="Arial" w:hAnsi="Arial"/>
          <w:sz w:val="22"/>
          <w:szCs w:val="22"/>
        </w:rPr>
        <w:t>the estimated value of the contract;</w:t>
      </w:r>
    </w:p>
    <w:p w:rsidR="005C14F6" w:rsidRPr="001E6362" w:rsidRDefault="005C14F6" w:rsidP="005C14F6">
      <w:pPr>
        <w:tabs>
          <w:tab w:val="left" w:pos="567"/>
        </w:tabs>
        <w:spacing w:line="125" w:lineRule="exact"/>
        <w:ind w:left="567" w:right="-46"/>
        <w:jc w:val="both"/>
        <w:rPr>
          <w:rFonts w:ascii="Arial" w:eastAsia="Arial" w:hAnsi="Arial"/>
          <w:sz w:val="22"/>
          <w:szCs w:val="22"/>
        </w:rPr>
      </w:pPr>
    </w:p>
    <w:p w:rsidR="005C14F6" w:rsidRPr="001E6362" w:rsidRDefault="005C14F6" w:rsidP="005C14F6">
      <w:pPr>
        <w:numPr>
          <w:ilvl w:val="1"/>
          <w:numId w:val="5"/>
        </w:numPr>
        <w:tabs>
          <w:tab w:val="left" w:pos="567"/>
          <w:tab w:val="left" w:pos="966"/>
        </w:tabs>
        <w:spacing w:line="273" w:lineRule="auto"/>
        <w:ind w:left="567" w:right="-46" w:hanging="286"/>
        <w:jc w:val="both"/>
        <w:rPr>
          <w:rFonts w:ascii="Arial" w:eastAsia="Arial" w:hAnsi="Arial"/>
          <w:sz w:val="22"/>
          <w:szCs w:val="22"/>
        </w:rPr>
      </w:pPr>
      <w:r w:rsidRPr="001E6362">
        <w:rPr>
          <w:rFonts w:ascii="Arial" w:eastAsia="Arial" w:hAnsi="Arial"/>
          <w:sz w:val="22"/>
          <w:szCs w:val="22"/>
        </w:rPr>
        <w:t>the application of the procurement rules, procurement policy and benefits and risks to people who use services and service delivery;</w:t>
      </w:r>
    </w:p>
    <w:p w:rsidR="005C14F6" w:rsidRPr="001E6362" w:rsidRDefault="005C14F6" w:rsidP="005C14F6">
      <w:pPr>
        <w:tabs>
          <w:tab w:val="left" w:pos="567"/>
        </w:tabs>
        <w:spacing w:line="61" w:lineRule="exact"/>
        <w:ind w:left="567" w:right="-46"/>
        <w:jc w:val="both"/>
        <w:rPr>
          <w:rFonts w:ascii="Arial" w:eastAsia="Arial" w:hAnsi="Arial"/>
          <w:sz w:val="22"/>
          <w:szCs w:val="22"/>
        </w:rPr>
      </w:pPr>
    </w:p>
    <w:p w:rsidR="005C14F6" w:rsidRPr="001E6362" w:rsidRDefault="005C14F6" w:rsidP="005C14F6">
      <w:pPr>
        <w:numPr>
          <w:ilvl w:val="1"/>
          <w:numId w:val="5"/>
        </w:numPr>
        <w:tabs>
          <w:tab w:val="left" w:pos="567"/>
          <w:tab w:val="left" w:pos="966"/>
        </w:tabs>
        <w:spacing w:line="0" w:lineRule="atLeast"/>
        <w:ind w:left="567" w:right="-46" w:hanging="286"/>
        <w:jc w:val="both"/>
        <w:rPr>
          <w:rFonts w:ascii="Arial" w:eastAsia="Arial" w:hAnsi="Arial"/>
          <w:sz w:val="22"/>
          <w:szCs w:val="22"/>
        </w:rPr>
      </w:pPr>
      <w:r w:rsidRPr="001E6362">
        <w:rPr>
          <w:rFonts w:ascii="Arial" w:eastAsia="Arial" w:hAnsi="Arial"/>
          <w:sz w:val="22"/>
          <w:szCs w:val="22"/>
        </w:rPr>
        <w:t>application of local financial regulations and standing orders; and</w:t>
      </w:r>
    </w:p>
    <w:p w:rsidR="005C14F6" w:rsidRPr="001E6362" w:rsidRDefault="005C14F6" w:rsidP="005C14F6">
      <w:pPr>
        <w:tabs>
          <w:tab w:val="left" w:pos="567"/>
        </w:tabs>
        <w:spacing w:line="125" w:lineRule="exact"/>
        <w:ind w:left="567" w:right="-46"/>
        <w:jc w:val="both"/>
        <w:rPr>
          <w:rFonts w:ascii="Arial" w:eastAsia="Arial" w:hAnsi="Arial"/>
          <w:sz w:val="22"/>
          <w:szCs w:val="22"/>
        </w:rPr>
      </w:pPr>
    </w:p>
    <w:p w:rsidR="005C14F6" w:rsidRPr="001E6362" w:rsidRDefault="005C14F6" w:rsidP="005C14F6">
      <w:pPr>
        <w:numPr>
          <w:ilvl w:val="1"/>
          <w:numId w:val="5"/>
        </w:numPr>
        <w:tabs>
          <w:tab w:val="left" w:pos="567"/>
          <w:tab w:val="left" w:pos="966"/>
        </w:tabs>
        <w:spacing w:line="273" w:lineRule="auto"/>
        <w:ind w:left="567" w:right="-46" w:hanging="286"/>
        <w:jc w:val="both"/>
        <w:rPr>
          <w:rFonts w:ascii="Arial" w:eastAsia="Arial" w:hAnsi="Arial"/>
          <w:sz w:val="22"/>
          <w:szCs w:val="22"/>
        </w:rPr>
      </w:pPr>
      <w:r w:rsidRPr="001E6362">
        <w:rPr>
          <w:rFonts w:ascii="Arial" w:eastAsia="Arial" w:hAnsi="Arial"/>
          <w:sz w:val="22"/>
          <w:szCs w:val="22"/>
        </w:rPr>
        <w:t>the specifics of the sector concerned (for example, the size and structure of the market and commercial practices).</w:t>
      </w:r>
    </w:p>
    <w:p w:rsidR="005C14F6" w:rsidRPr="001E6362" w:rsidRDefault="005C14F6" w:rsidP="005C14F6">
      <w:pPr>
        <w:tabs>
          <w:tab w:val="left" w:pos="0"/>
        </w:tabs>
        <w:spacing w:line="353" w:lineRule="exact"/>
        <w:ind w:right="-46"/>
        <w:jc w:val="both"/>
        <w:rPr>
          <w:rFonts w:ascii="Arial" w:eastAsia="Arial" w:hAnsi="Arial"/>
          <w:sz w:val="22"/>
          <w:szCs w:val="22"/>
        </w:rPr>
      </w:pPr>
    </w:p>
    <w:p w:rsidR="005C14F6" w:rsidRPr="001E6362" w:rsidRDefault="005C14F6" w:rsidP="005C14F6">
      <w:pPr>
        <w:tabs>
          <w:tab w:val="left" w:pos="0"/>
        </w:tabs>
        <w:spacing w:line="252" w:lineRule="auto"/>
        <w:ind w:right="-46"/>
        <w:jc w:val="both"/>
        <w:rPr>
          <w:rFonts w:ascii="Arial" w:eastAsia="Arial" w:hAnsi="Arial"/>
          <w:sz w:val="22"/>
          <w:szCs w:val="22"/>
        </w:rPr>
      </w:pPr>
      <w:r w:rsidRPr="001E6362">
        <w:rPr>
          <w:rFonts w:ascii="Arial" w:eastAsia="Arial" w:hAnsi="Arial"/>
          <w:sz w:val="22"/>
          <w:szCs w:val="22"/>
        </w:rPr>
        <w:t xml:space="preserve">Where an organisation chooses to seek offers in relation to a contract, then as with all contracts with a value of £50,000 or more, it must be advertised on the </w:t>
      </w:r>
      <w:hyperlink r:id="rId13" w:history="1">
        <w:r w:rsidRPr="001E6362">
          <w:rPr>
            <w:rFonts w:ascii="Arial" w:eastAsia="Arial" w:hAnsi="Arial"/>
            <w:color w:val="002A7C"/>
            <w:sz w:val="22"/>
            <w:szCs w:val="22"/>
            <w:u w:val="single"/>
          </w:rPr>
          <w:t>Public Contracts Scotland (PCS) website</w:t>
        </w:r>
      </w:hyperlink>
      <w:r w:rsidRPr="001E6362">
        <w:rPr>
          <w:rFonts w:ascii="Arial" w:eastAsia="Arial" w:hAnsi="Arial"/>
          <w:sz w:val="22"/>
          <w:szCs w:val="22"/>
        </w:rPr>
        <w:t xml:space="preserve">. </w:t>
      </w:r>
      <w:r w:rsidRPr="001E6362">
        <w:rPr>
          <w:rFonts w:ascii="Arial" w:eastAsia="Arial" w:hAnsi="Arial"/>
          <w:b/>
          <w:sz w:val="22"/>
          <w:szCs w:val="22"/>
        </w:rPr>
        <w:t>All</w:t>
      </w:r>
      <w:r w:rsidRPr="001E6362">
        <w:rPr>
          <w:rFonts w:ascii="Arial" w:eastAsia="Arial" w:hAnsi="Arial"/>
          <w:sz w:val="22"/>
          <w:szCs w:val="22"/>
        </w:rPr>
        <w:t xml:space="preserve"> of the provisions of</w:t>
      </w:r>
    </w:p>
    <w:p w:rsidR="005C14F6" w:rsidRPr="001E6362" w:rsidRDefault="007E369A" w:rsidP="005C14F6">
      <w:pPr>
        <w:tabs>
          <w:tab w:val="left" w:pos="0"/>
        </w:tabs>
        <w:spacing w:line="0" w:lineRule="atLeast"/>
        <w:ind w:right="-46"/>
        <w:jc w:val="both"/>
        <w:rPr>
          <w:rFonts w:ascii="Arial" w:eastAsia="Arial" w:hAnsi="Arial"/>
          <w:color w:val="000000"/>
          <w:sz w:val="22"/>
          <w:szCs w:val="22"/>
        </w:rPr>
      </w:pPr>
      <w:hyperlink r:id="rId14" w:history="1">
        <w:r w:rsidR="005C14F6" w:rsidRPr="001E6362">
          <w:rPr>
            <w:rFonts w:ascii="Arial" w:eastAsia="Arial" w:hAnsi="Arial"/>
            <w:color w:val="002A7C"/>
            <w:sz w:val="22"/>
            <w:szCs w:val="22"/>
            <w:u w:val="single"/>
          </w:rPr>
          <w:t>the Act</w:t>
        </w:r>
        <w:r w:rsidR="005C14F6" w:rsidRPr="001E6362">
          <w:rPr>
            <w:rFonts w:ascii="Arial" w:eastAsia="Arial" w:hAnsi="Arial"/>
            <w:color w:val="002A7C"/>
            <w:sz w:val="22"/>
            <w:szCs w:val="22"/>
          </w:rPr>
          <w:t xml:space="preserve"> </w:t>
        </w:r>
      </w:hyperlink>
      <w:r w:rsidR="005C14F6" w:rsidRPr="001E6362">
        <w:rPr>
          <w:rFonts w:ascii="Arial" w:eastAsia="Arial" w:hAnsi="Arial"/>
          <w:color w:val="000000"/>
          <w:sz w:val="22"/>
          <w:szCs w:val="22"/>
        </w:rPr>
        <w:t>will</w:t>
      </w:r>
      <w:r w:rsidR="005C14F6" w:rsidRPr="001E6362">
        <w:rPr>
          <w:rFonts w:ascii="Arial" w:eastAsia="Arial" w:hAnsi="Arial"/>
          <w:color w:val="002A7C"/>
          <w:sz w:val="22"/>
          <w:szCs w:val="22"/>
        </w:rPr>
        <w:t xml:space="preserve"> </w:t>
      </w:r>
      <w:r w:rsidR="005C14F6" w:rsidRPr="001E6362">
        <w:rPr>
          <w:rFonts w:ascii="Arial" w:eastAsia="Arial" w:hAnsi="Arial"/>
          <w:color w:val="000000"/>
          <w:sz w:val="22"/>
          <w:szCs w:val="22"/>
        </w:rPr>
        <w:t>apply in that case.</w:t>
      </w:r>
    </w:p>
    <w:p w:rsidR="005C14F6" w:rsidRPr="001E6362" w:rsidRDefault="005C14F6" w:rsidP="005C14F6">
      <w:pPr>
        <w:tabs>
          <w:tab w:val="left" w:pos="0"/>
        </w:tabs>
        <w:spacing w:line="302" w:lineRule="exact"/>
        <w:ind w:right="-46"/>
        <w:jc w:val="both"/>
        <w:rPr>
          <w:rFonts w:ascii="Arial" w:eastAsia="Arial" w:hAnsi="Arial"/>
          <w:sz w:val="22"/>
          <w:szCs w:val="22"/>
        </w:rPr>
      </w:pPr>
    </w:p>
    <w:p w:rsidR="005C14F6" w:rsidRPr="001E6362" w:rsidRDefault="005C14F6" w:rsidP="005C14F6">
      <w:pPr>
        <w:tabs>
          <w:tab w:val="left" w:pos="0"/>
        </w:tabs>
        <w:spacing w:line="302" w:lineRule="exact"/>
        <w:ind w:right="-46"/>
        <w:jc w:val="both"/>
        <w:rPr>
          <w:rFonts w:ascii="Arial" w:eastAsia="Arial" w:hAnsi="Arial"/>
          <w:sz w:val="22"/>
          <w:szCs w:val="22"/>
        </w:rPr>
      </w:pPr>
    </w:p>
    <w:p w:rsidR="005C14F6" w:rsidRPr="001E6362" w:rsidRDefault="005C14F6" w:rsidP="005C14F6">
      <w:pPr>
        <w:tabs>
          <w:tab w:val="left" w:pos="0"/>
        </w:tabs>
        <w:spacing w:line="273" w:lineRule="auto"/>
        <w:ind w:right="-46"/>
        <w:jc w:val="center"/>
        <w:rPr>
          <w:rFonts w:ascii="Arial" w:eastAsia="Arial" w:hAnsi="Arial"/>
          <w:b/>
          <w:sz w:val="24"/>
          <w:szCs w:val="22"/>
        </w:rPr>
      </w:pPr>
      <w:r w:rsidRPr="001E6362">
        <w:rPr>
          <w:rFonts w:ascii="Arial" w:eastAsia="Arial" w:hAnsi="Arial"/>
          <w:b/>
          <w:sz w:val="24"/>
          <w:szCs w:val="22"/>
        </w:rPr>
        <w:t xml:space="preserve">Specific rules for care and support contracts between £50,000 and </w:t>
      </w:r>
      <w:r w:rsidR="007E369A">
        <w:rPr>
          <w:rFonts w:ascii="Arial" w:eastAsia="Arial" w:hAnsi="Arial"/>
          <w:sz w:val="22"/>
          <w:szCs w:val="22"/>
        </w:rPr>
        <w:t>£663,540</w:t>
      </w:r>
      <w:bookmarkStart w:id="1" w:name="_GoBack"/>
      <w:bookmarkEnd w:id="1"/>
      <w:r w:rsidRPr="001E6362">
        <w:rPr>
          <w:rFonts w:ascii="Arial" w:eastAsia="Arial" w:hAnsi="Arial"/>
          <w:b/>
          <w:sz w:val="24"/>
          <w:szCs w:val="22"/>
        </w:rPr>
        <w:t xml:space="preserve">– award </w:t>
      </w:r>
      <w:r w:rsidRPr="001E6362">
        <w:rPr>
          <w:rFonts w:ascii="Arial" w:eastAsia="Arial" w:hAnsi="Arial"/>
          <w:b/>
          <w:sz w:val="24"/>
          <w:szCs w:val="22"/>
          <w:u w:val="single"/>
        </w:rPr>
        <w:t>without</w:t>
      </w:r>
      <w:r w:rsidRPr="001E6362">
        <w:rPr>
          <w:rFonts w:ascii="Arial" w:eastAsia="Arial" w:hAnsi="Arial"/>
          <w:b/>
          <w:sz w:val="24"/>
          <w:szCs w:val="22"/>
        </w:rPr>
        <w:t xml:space="preserve"> advertising</w:t>
      </w:r>
    </w:p>
    <w:p w:rsidR="005C14F6" w:rsidRPr="001E6362" w:rsidRDefault="005C14F6" w:rsidP="005C14F6">
      <w:pPr>
        <w:tabs>
          <w:tab w:val="left" w:pos="0"/>
        </w:tabs>
        <w:spacing w:line="240" w:lineRule="exact"/>
        <w:ind w:right="-46"/>
        <w:jc w:val="both"/>
        <w:rPr>
          <w:rFonts w:ascii="Arial" w:eastAsia="Arial" w:hAnsi="Arial"/>
          <w:sz w:val="24"/>
          <w:szCs w:val="22"/>
        </w:rPr>
      </w:pPr>
    </w:p>
    <w:p w:rsidR="005C14F6" w:rsidRPr="001E6362" w:rsidRDefault="005C14F6" w:rsidP="005C14F6">
      <w:pPr>
        <w:tabs>
          <w:tab w:val="left" w:pos="686"/>
        </w:tabs>
        <w:spacing w:line="275" w:lineRule="auto"/>
        <w:ind w:left="6" w:right="180"/>
        <w:jc w:val="both"/>
        <w:rPr>
          <w:rFonts w:ascii="Arial" w:eastAsia="Arial" w:hAnsi="Arial"/>
          <w:sz w:val="22"/>
          <w:szCs w:val="22"/>
        </w:rPr>
      </w:pPr>
      <w:r w:rsidRPr="001E6362">
        <w:rPr>
          <w:rFonts w:ascii="Arial" w:eastAsia="Arial" w:hAnsi="Arial"/>
          <w:sz w:val="22"/>
          <w:szCs w:val="22"/>
        </w:rPr>
        <w:t>Where an organisation decides to renew an existing contract, or to award a new contract without competition, it should ensure that:</w:t>
      </w:r>
    </w:p>
    <w:p w:rsidR="005C14F6" w:rsidRPr="001E6362" w:rsidRDefault="005C14F6" w:rsidP="005C14F6">
      <w:pPr>
        <w:spacing w:line="115" w:lineRule="exact"/>
        <w:jc w:val="both"/>
        <w:rPr>
          <w:rFonts w:ascii="Arial" w:eastAsia="Arial" w:hAnsi="Arial"/>
          <w:sz w:val="22"/>
          <w:szCs w:val="22"/>
        </w:rPr>
      </w:pPr>
    </w:p>
    <w:p w:rsidR="005C14F6" w:rsidRPr="001E6362" w:rsidRDefault="005C14F6" w:rsidP="005C14F6">
      <w:pPr>
        <w:numPr>
          <w:ilvl w:val="1"/>
          <w:numId w:val="16"/>
        </w:numPr>
        <w:tabs>
          <w:tab w:val="left" w:pos="966"/>
        </w:tabs>
        <w:spacing w:line="273" w:lineRule="auto"/>
        <w:ind w:left="966" w:right="220" w:hanging="286"/>
        <w:jc w:val="both"/>
        <w:rPr>
          <w:rFonts w:ascii="Arial" w:eastAsia="Arial" w:hAnsi="Arial"/>
          <w:sz w:val="22"/>
          <w:szCs w:val="22"/>
        </w:rPr>
      </w:pPr>
      <w:r w:rsidRPr="001E6362">
        <w:rPr>
          <w:rFonts w:ascii="Arial" w:eastAsia="Arial" w:hAnsi="Arial"/>
          <w:sz w:val="22"/>
          <w:szCs w:val="22"/>
        </w:rPr>
        <w:t>its decision is based on sound and objective business reasons and that this is fully documented;</w:t>
      </w:r>
    </w:p>
    <w:p w:rsidR="005C14F6" w:rsidRPr="001E6362" w:rsidRDefault="005C14F6" w:rsidP="005C14F6">
      <w:pPr>
        <w:spacing w:line="118" w:lineRule="exact"/>
        <w:jc w:val="both"/>
        <w:rPr>
          <w:rFonts w:ascii="Arial" w:eastAsia="Arial" w:hAnsi="Arial"/>
          <w:sz w:val="22"/>
          <w:szCs w:val="22"/>
        </w:rPr>
      </w:pPr>
    </w:p>
    <w:p w:rsidR="005C14F6" w:rsidRPr="001E6362" w:rsidRDefault="005C14F6" w:rsidP="005C14F6">
      <w:pPr>
        <w:numPr>
          <w:ilvl w:val="1"/>
          <w:numId w:val="16"/>
        </w:numPr>
        <w:tabs>
          <w:tab w:val="left" w:pos="966"/>
        </w:tabs>
        <w:spacing w:line="258" w:lineRule="auto"/>
        <w:ind w:left="966" w:right="340" w:hanging="286"/>
        <w:jc w:val="both"/>
        <w:rPr>
          <w:rFonts w:ascii="Arial" w:eastAsia="Arial" w:hAnsi="Arial"/>
          <w:sz w:val="22"/>
          <w:szCs w:val="22"/>
        </w:rPr>
      </w:pPr>
      <w:r w:rsidRPr="001E6362">
        <w:rPr>
          <w:rFonts w:ascii="Arial" w:eastAsia="Arial" w:hAnsi="Arial"/>
          <w:sz w:val="22"/>
          <w:szCs w:val="22"/>
        </w:rPr>
        <w:t xml:space="preserve">its decision not to award the contract or framework agreement by competition is permissible (see </w:t>
      </w:r>
      <w:r w:rsidRPr="001E6362">
        <w:rPr>
          <w:rFonts w:ascii="Arial" w:eastAsia="Arial" w:hAnsi="Arial"/>
          <w:b/>
          <w:color w:val="002A7C"/>
          <w:sz w:val="22"/>
          <w:szCs w:val="22"/>
        </w:rPr>
        <w:t>threshold diagram below</w:t>
      </w:r>
      <w:r w:rsidRPr="001E6362">
        <w:rPr>
          <w:rFonts w:ascii="Arial" w:eastAsia="Arial" w:hAnsi="Arial"/>
          <w:sz w:val="22"/>
          <w:szCs w:val="22"/>
        </w:rPr>
        <w:t xml:space="preserve">) and compliant with the public procurement Regulations and the </w:t>
      </w:r>
      <w:proofErr w:type="spellStart"/>
      <w:r w:rsidRPr="001E6362">
        <w:rPr>
          <w:rFonts w:ascii="Arial" w:eastAsia="Arial" w:hAnsi="Arial"/>
          <w:sz w:val="22"/>
          <w:szCs w:val="22"/>
        </w:rPr>
        <w:t>TFEU</w:t>
      </w:r>
      <w:proofErr w:type="spellEnd"/>
      <w:r w:rsidRPr="001E6362">
        <w:rPr>
          <w:rFonts w:ascii="Arial" w:eastAsia="Arial" w:hAnsi="Arial"/>
          <w:sz w:val="22"/>
          <w:szCs w:val="22"/>
        </w:rPr>
        <w:t xml:space="preserve"> fundamental principles;</w:t>
      </w:r>
    </w:p>
    <w:p w:rsidR="005C14F6" w:rsidRPr="001E6362" w:rsidRDefault="005C14F6" w:rsidP="005C14F6">
      <w:pPr>
        <w:spacing w:line="135" w:lineRule="exact"/>
        <w:jc w:val="both"/>
        <w:rPr>
          <w:rFonts w:ascii="Arial" w:eastAsia="Arial" w:hAnsi="Arial"/>
          <w:sz w:val="22"/>
          <w:szCs w:val="22"/>
        </w:rPr>
      </w:pPr>
    </w:p>
    <w:p w:rsidR="005C14F6" w:rsidRPr="001E6362" w:rsidRDefault="005C14F6" w:rsidP="005C14F6">
      <w:pPr>
        <w:numPr>
          <w:ilvl w:val="1"/>
          <w:numId w:val="16"/>
        </w:numPr>
        <w:tabs>
          <w:tab w:val="left" w:pos="966"/>
        </w:tabs>
        <w:spacing w:line="269" w:lineRule="auto"/>
        <w:ind w:left="966" w:hanging="286"/>
        <w:jc w:val="both"/>
        <w:rPr>
          <w:rFonts w:ascii="Arial" w:eastAsia="Arial" w:hAnsi="Arial"/>
          <w:sz w:val="22"/>
          <w:szCs w:val="22"/>
        </w:rPr>
      </w:pPr>
      <w:r w:rsidRPr="001E6362">
        <w:rPr>
          <w:rFonts w:ascii="Arial" w:eastAsia="Arial" w:hAnsi="Arial"/>
          <w:sz w:val="22"/>
          <w:szCs w:val="22"/>
        </w:rPr>
        <w:t>its decision is consistent with local financial regulations and standing orders and local policy and procedures for the procurement for care and support services;</w:t>
      </w:r>
    </w:p>
    <w:p w:rsidR="005C14F6" w:rsidRPr="001E6362" w:rsidRDefault="005C14F6" w:rsidP="005C14F6">
      <w:pPr>
        <w:spacing w:line="200" w:lineRule="exact"/>
        <w:jc w:val="both"/>
        <w:rPr>
          <w:rFonts w:ascii="Arial" w:eastAsia="Arial" w:hAnsi="Arial"/>
          <w:sz w:val="22"/>
          <w:szCs w:val="22"/>
        </w:rPr>
      </w:pPr>
    </w:p>
    <w:p w:rsidR="005C14F6" w:rsidRPr="001E6362" w:rsidRDefault="005C14F6" w:rsidP="005C14F6">
      <w:pPr>
        <w:numPr>
          <w:ilvl w:val="1"/>
          <w:numId w:val="16"/>
        </w:numPr>
        <w:tabs>
          <w:tab w:val="left" w:pos="966"/>
        </w:tabs>
        <w:spacing w:line="0" w:lineRule="atLeast"/>
        <w:ind w:left="966" w:hanging="286"/>
        <w:jc w:val="both"/>
        <w:rPr>
          <w:rFonts w:ascii="Arial" w:eastAsia="Arial" w:hAnsi="Arial"/>
          <w:sz w:val="22"/>
          <w:szCs w:val="22"/>
        </w:rPr>
      </w:pPr>
      <w:r w:rsidRPr="001E6362">
        <w:rPr>
          <w:rFonts w:ascii="Arial" w:eastAsia="Arial" w:hAnsi="Arial"/>
          <w:sz w:val="22"/>
          <w:szCs w:val="22"/>
        </w:rPr>
        <w:t>it is able to demonstrate that best value has been achieved; and</w:t>
      </w:r>
    </w:p>
    <w:p w:rsidR="005C14F6" w:rsidRPr="001E6362" w:rsidRDefault="005C14F6" w:rsidP="005C14F6">
      <w:pPr>
        <w:spacing w:line="182" w:lineRule="exact"/>
        <w:jc w:val="both"/>
        <w:rPr>
          <w:rFonts w:ascii="Arial" w:eastAsia="Arial" w:hAnsi="Arial"/>
          <w:sz w:val="22"/>
          <w:szCs w:val="22"/>
        </w:rPr>
      </w:pPr>
    </w:p>
    <w:p w:rsidR="005C14F6" w:rsidRPr="001E6362" w:rsidRDefault="005C14F6" w:rsidP="005C14F6">
      <w:pPr>
        <w:numPr>
          <w:ilvl w:val="1"/>
          <w:numId w:val="16"/>
        </w:numPr>
        <w:tabs>
          <w:tab w:val="left" w:pos="966"/>
        </w:tabs>
        <w:spacing w:line="262" w:lineRule="auto"/>
        <w:ind w:left="966" w:right="80" w:hanging="286"/>
        <w:jc w:val="both"/>
        <w:rPr>
          <w:rFonts w:ascii="Arial" w:eastAsia="Arial" w:hAnsi="Arial"/>
          <w:sz w:val="22"/>
          <w:szCs w:val="22"/>
        </w:rPr>
      </w:pPr>
      <w:r w:rsidRPr="001E6362">
        <w:rPr>
          <w:rFonts w:ascii="Arial" w:eastAsia="Arial" w:hAnsi="Arial"/>
          <w:sz w:val="22"/>
          <w:szCs w:val="22"/>
        </w:rPr>
        <w:t>the decision is subject to regular review. For example, a decision not to advertise and tender a contract because of its low value will need to be reviewed should the total sum to be paid under that contract increase.</w:t>
      </w:r>
    </w:p>
    <w:p w:rsidR="005C14F6" w:rsidRPr="001E6362" w:rsidRDefault="005C14F6" w:rsidP="005C14F6">
      <w:pPr>
        <w:tabs>
          <w:tab w:val="left" w:pos="0"/>
        </w:tabs>
        <w:spacing w:line="256" w:lineRule="auto"/>
        <w:ind w:right="-46"/>
        <w:jc w:val="both"/>
        <w:rPr>
          <w:rFonts w:ascii="Arial" w:eastAsia="Arial" w:hAnsi="Arial"/>
          <w:sz w:val="22"/>
          <w:szCs w:val="22"/>
        </w:rPr>
      </w:pPr>
    </w:p>
    <w:p w:rsidR="005C14F6" w:rsidRPr="001E6362" w:rsidRDefault="005C14F6" w:rsidP="005C14F6">
      <w:pPr>
        <w:tabs>
          <w:tab w:val="left" w:pos="0"/>
        </w:tabs>
        <w:spacing w:line="256" w:lineRule="auto"/>
        <w:ind w:right="-46"/>
        <w:jc w:val="both"/>
        <w:rPr>
          <w:rFonts w:ascii="Arial" w:eastAsia="Arial" w:hAnsi="Arial"/>
          <w:sz w:val="22"/>
          <w:szCs w:val="22"/>
        </w:rPr>
      </w:pPr>
      <w:r w:rsidRPr="001E6362">
        <w:rPr>
          <w:rFonts w:ascii="Arial" w:eastAsia="Arial" w:hAnsi="Arial"/>
          <w:sz w:val="22"/>
          <w:szCs w:val="22"/>
        </w:rPr>
        <w:t xml:space="preserve">For contracts of this value, an organisation may choose to award care or support contracts, or framework agreements, without seeking offers in relation to the proposed contract. This is consistent with the provisions of </w:t>
      </w:r>
      <w:hyperlink r:id="rId15" w:history="1">
        <w:r w:rsidRPr="001E6362">
          <w:rPr>
            <w:rFonts w:ascii="Arial" w:eastAsia="Arial" w:hAnsi="Arial"/>
            <w:color w:val="002A7C"/>
            <w:sz w:val="22"/>
            <w:szCs w:val="22"/>
            <w:u w:val="single"/>
          </w:rPr>
          <w:t>section 12 of the Act</w:t>
        </w:r>
        <w:r w:rsidRPr="001E6362">
          <w:rPr>
            <w:rFonts w:ascii="Arial" w:eastAsia="Arial" w:hAnsi="Arial"/>
            <w:sz w:val="22"/>
            <w:szCs w:val="22"/>
            <w:u w:val="single"/>
          </w:rPr>
          <w:t xml:space="preserve"> </w:t>
        </w:r>
      </w:hyperlink>
      <w:r w:rsidRPr="001E6362">
        <w:rPr>
          <w:rFonts w:ascii="Arial" w:eastAsia="Arial" w:hAnsi="Arial"/>
          <w:sz w:val="22"/>
          <w:szCs w:val="22"/>
        </w:rPr>
        <w:t>and this best-practice guidance should be read together with that. Under the Act, there are some provisions that still apply when an organisation chooses to award without advertising. These are:</w:t>
      </w:r>
    </w:p>
    <w:p w:rsidR="005C14F6" w:rsidRPr="00E73D93" w:rsidRDefault="005C14F6" w:rsidP="005C14F6">
      <w:pPr>
        <w:tabs>
          <w:tab w:val="left" w:pos="0"/>
        </w:tabs>
        <w:spacing w:line="261" w:lineRule="exact"/>
        <w:ind w:right="-46"/>
        <w:jc w:val="both"/>
        <w:rPr>
          <w:rFonts w:ascii="Arial" w:eastAsia="Arial" w:hAnsi="Arial"/>
          <w:sz w:val="24"/>
          <w:szCs w:val="24"/>
        </w:rPr>
      </w:pPr>
    </w:p>
    <w:p w:rsidR="005C14F6" w:rsidRPr="001E6362" w:rsidRDefault="007E369A" w:rsidP="005C14F6">
      <w:pPr>
        <w:numPr>
          <w:ilvl w:val="1"/>
          <w:numId w:val="6"/>
        </w:numPr>
        <w:tabs>
          <w:tab w:val="left" w:pos="567"/>
          <w:tab w:val="left" w:pos="966"/>
        </w:tabs>
        <w:spacing w:line="273" w:lineRule="auto"/>
        <w:ind w:left="567" w:right="-46" w:hanging="286"/>
        <w:jc w:val="both"/>
        <w:rPr>
          <w:rFonts w:ascii="Arial" w:eastAsia="Arial" w:hAnsi="Arial"/>
          <w:color w:val="002A7C"/>
          <w:sz w:val="22"/>
          <w:szCs w:val="22"/>
        </w:rPr>
      </w:pPr>
      <w:hyperlink r:id="rId16" w:history="1">
        <w:r w:rsidR="005C14F6" w:rsidRPr="001E6362">
          <w:rPr>
            <w:rFonts w:ascii="Arial" w:eastAsia="Arial" w:hAnsi="Arial"/>
            <w:color w:val="002A7C"/>
            <w:sz w:val="22"/>
            <w:szCs w:val="22"/>
          </w:rPr>
          <w:t xml:space="preserve">Section 23(2) </w:t>
        </w:r>
      </w:hyperlink>
      <w:r w:rsidR="005C14F6" w:rsidRPr="001E6362">
        <w:rPr>
          <w:rFonts w:ascii="Arial" w:eastAsia="Arial" w:hAnsi="Arial"/>
          <w:color w:val="002A7C"/>
          <w:sz w:val="22"/>
          <w:szCs w:val="22"/>
        </w:rPr>
        <w:t>of the Act</w:t>
      </w:r>
      <w:r w:rsidR="005C14F6" w:rsidRPr="001E6362">
        <w:rPr>
          <w:rFonts w:ascii="Arial" w:eastAsia="Arial" w:hAnsi="Arial"/>
          <w:color w:val="000000"/>
          <w:sz w:val="22"/>
          <w:szCs w:val="22"/>
        </w:rPr>
        <w:t>: An organisation must publicise a contract award</w:t>
      </w:r>
      <w:r w:rsidR="005C14F6" w:rsidRPr="00E73D93">
        <w:rPr>
          <w:rFonts w:ascii="Arial" w:eastAsia="Arial" w:hAnsi="Arial"/>
          <w:color w:val="002A7C"/>
          <w:sz w:val="24"/>
          <w:szCs w:val="24"/>
        </w:rPr>
        <w:t xml:space="preserve"> </w:t>
      </w:r>
      <w:r w:rsidR="005C14F6" w:rsidRPr="001E6362">
        <w:rPr>
          <w:rFonts w:ascii="Arial" w:eastAsia="Arial" w:hAnsi="Arial"/>
          <w:color w:val="000000"/>
          <w:sz w:val="22"/>
          <w:szCs w:val="22"/>
        </w:rPr>
        <w:t>notice on PCS;</w:t>
      </w:r>
    </w:p>
    <w:p w:rsidR="005C14F6" w:rsidRPr="001E6362" w:rsidRDefault="005C14F6" w:rsidP="005C14F6">
      <w:pPr>
        <w:tabs>
          <w:tab w:val="left" w:pos="567"/>
        </w:tabs>
        <w:spacing w:line="118" w:lineRule="exact"/>
        <w:ind w:left="567" w:right="-46"/>
        <w:jc w:val="both"/>
        <w:rPr>
          <w:rFonts w:ascii="Arial" w:eastAsia="Arial" w:hAnsi="Arial"/>
          <w:color w:val="002A7C"/>
          <w:sz w:val="22"/>
          <w:szCs w:val="22"/>
        </w:rPr>
      </w:pPr>
    </w:p>
    <w:p w:rsidR="005C14F6" w:rsidRPr="001E6362" w:rsidRDefault="007E369A" w:rsidP="005C14F6">
      <w:pPr>
        <w:numPr>
          <w:ilvl w:val="1"/>
          <w:numId w:val="6"/>
        </w:numPr>
        <w:tabs>
          <w:tab w:val="left" w:pos="567"/>
          <w:tab w:val="left" w:pos="966"/>
        </w:tabs>
        <w:spacing w:line="258" w:lineRule="auto"/>
        <w:ind w:left="567" w:right="-46" w:hanging="286"/>
        <w:jc w:val="both"/>
        <w:rPr>
          <w:rFonts w:ascii="Arial" w:eastAsia="Arial" w:hAnsi="Arial"/>
          <w:color w:val="002A7C"/>
          <w:sz w:val="22"/>
          <w:szCs w:val="22"/>
        </w:rPr>
      </w:pPr>
      <w:hyperlink r:id="rId17" w:history="1">
        <w:r w:rsidR="005C14F6" w:rsidRPr="001E6362">
          <w:rPr>
            <w:rFonts w:ascii="Arial" w:eastAsia="Arial" w:hAnsi="Arial"/>
            <w:color w:val="002A7C"/>
            <w:sz w:val="22"/>
            <w:szCs w:val="22"/>
          </w:rPr>
          <w:t xml:space="preserve">Section 27 </w:t>
        </w:r>
      </w:hyperlink>
      <w:r w:rsidR="005C14F6" w:rsidRPr="001E6362">
        <w:rPr>
          <w:rFonts w:ascii="Arial" w:eastAsia="Arial" w:hAnsi="Arial"/>
          <w:color w:val="000000"/>
          <w:sz w:val="22"/>
          <w:szCs w:val="22"/>
        </w:rPr>
        <w:t>and</w:t>
      </w:r>
      <w:r w:rsidR="005C14F6" w:rsidRPr="001E6362">
        <w:rPr>
          <w:rFonts w:ascii="Arial" w:eastAsia="Arial" w:hAnsi="Arial"/>
          <w:color w:val="002A7C"/>
          <w:sz w:val="22"/>
          <w:szCs w:val="22"/>
        </w:rPr>
        <w:t xml:space="preserve"> </w:t>
      </w:r>
      <w:hyperlink r:id="rId18" w:history="1">
        <w:r w:rsidR="005C14F6" w:rsidRPr="001E6362">
          <w:rPr>
            <w:rFonts w:ascii="Arial" w:eastAsia="Arial" w:hAnsi="Arial"/>
            <w:color w:val="002A7C"/>
            <w:sz w:val="22"/>
            <w:szCs w:val="22"/>
            <w:u w:val="single"/>
          </w:rPr>
          <w:t xml:space="preserve">Section 28 </w:t>
        </w:r>
      </w:hyperlink>
      <w:r w:rsidR="005C14F6" w:rsidRPr="001E6362">
        <w:rPr>
          <w:rFonts w:ascii="Arial" w:eastAsia="Arial" w:hAnsi="Arial"/>
          <w:color w:val="000000"/>
          <w:sz w:val="22"/>
          <w:szCs w:val="22"/>
        </w:rPr>
        <w:t>of</w:t>
      </w:r>
      <w:r w:rsidR="005C14F6" w:rsidRPr="001E6362">
        <w:rPr>
          <w:rFonts w:ascii="Arial" w:eastAsia="Arial" w:hAnsi="Arial"/>
          <w:color w:val="002A7C"/>
          <w:sz w:val="22"/>
          <w:szCs w:val="22"/>
        </w:rPr>
        <w:t xml:space="preserve"> </w:t>
      </w:r>
      <w:r w:rsidR="005C14F6" w:rsidRPr="001E6362">
        <w:rPr>
          <w:rFonts w:ascii="Arial" w:eastAsia="Arial" w:hAnsi="Arial"/>
          <w:color w:val="000000"/>
          <w:sz w:val="22"/>
          <w:szCs w:val="22"/>
        </w:rPr>
        <w:t>the Act: An organisation must consider</w:t>
      </w:r>
      <w:r w:rsidR="005C14F6" w:rsidRPr="001E6362">
        <w:rPr>
          <w:rFonts w:ascii="Arial" w:eastAsia="Arial" w:hAnsi="Arial"/>
          <w:color w:val="002A7C"/>
          <w:sz w:val="22"/>
          <w:szCs w:val="22"/>
        </w:rPr>
        <w:t xml:space="preserve"> </w:t>
      </w:r>
      <w:r w:rsidR="005C14F6" w:rsidRPr="001E6362">
        <w:rPr>
          <w:rFonts w:ascii="Arial" w:eastAsia="Arial" w:hAnsi="Arial"/>
          <w:color w:val="000000"/>
          <w:sz w:val="22"/>
          <w:szCs w:val="22"/>
        </w:rPr>
        <w:t xml:space="preserve">whether any of the mandatory exclusion grounds referred to in </w:t>
      </w:r>
      <w:hyperlink r:id="rId19" w:history="1">
        <w:r w:rsidR="005C14F6" w:rsidRPr="001E6362">
          <w:rPr>
            <w:rFonts w:ascii="Arial" w:eastAsia="Arial" w:hAnsi="Arial"/>
            <w:color w:val="002A7C"/>
            <w:sz w:val="22"/>
            <w:szCs w:val="22"/>
            <w:u w:val="single"/>
          </w:rPr>
          <w:t>The</w:t>
        </w:r>
      </w:hyperlink>
      <w:r w:rsidR="005C14F6" w:rsidRPr="001E6362">
        <w:rPr>
          <w:rFonts w:ascii="Arial" w:eastAsia="Arial" w:hAnsi="Arial"/>
          <w:color w:val="000000"/>
          <w:sz w:val="22"/>
          <w:szCs w:val="22"/>
        </w:rPr>
        <w:t xml:space="preserve"> </w:t>
      </w:r>
      <w:hyperlink r:id="rId20" w:history="1">
        <w:r w:rsidR="005C14F6" w:rsidRPr="001E6362">
          <w:rPr>
            <w:rFonts w:ascii="Arial" w:eastAsia="Arial" w:hAnsi="Arial"/>
            <w:color w:val="002A7C"/>
            <w:sz w:val="22"/>
            <w:szCs w:val="22"/>
            <w:u w:val="single"/>
          </w:rPr>
          <w:t>Procurement (Scotland) Regulations 2016</w:t>
        </w:r>
        <w:r w:rsidR="005C14F6" w:rsidRPr="001E6362">
          <w:rPr>
            <w:rFonts w:ascii="Arial" w:eastAsia="Arial" w:hAnsi="Arial"/>
            <w:color w:val="002A7C"/>
            <w:sz w:val="22"/>
            <w:szCs w:val="22"/>
          </w:rPr>
          <w:t xml:space="preserve"> </w:t>
        </w:r>
      </w:hyperlink>
      <w:r w:rsidR="005C14F6" w:rsidRPr="001E6362">
        <w:rPr>
          <w:rFonts w:ascii="Arial" w:eastAsia="Arial" w:hAnsi="Arial"/>
          <w:color w:val="000000"/>
          <w:sz w:val="22"/>
          <w:szCs w:val="22"/>
        </w:rPr>
        <w:t>apply</w:t>
      </w:r>
      <w:r w:rsidR="005C14F6" w:rsidRPr="001E6362">
        <w:rPr>
          <w:rFonts w:ascii="Arial" w:eastAsia="Arial" w:hAnsi="Arial"/>
          <w:color w:val="002A7C"/>
          <w:sz w:val="22"/>
          <w:szCs w:val="22"/>
        </w:rPr>
        <w:t xml:space="preserve"> </w:t>
      </w:r>
      <w:r w:rsidR="005C14F6" w:rsidRPr="001E6362">
        <w:rPr>
          <w:rFonts w:ascii="Arial" w:eastAsia="Arial" w:hAnsi="Arial"/>
          <w:color w:val="000000"/>
          <w:sz w:val="22"/>
          <w:szCs w:val="22"/>
        </w:rPr>
        <w:t>in respect of the</w:t>
      </w:r>
      <w:r w:rsidR="005C14F6" w:rsidRPr="001E6362">
        <w:rPr>
          <w:rFonts w:ascii="Arial" w:eastAsia="Arial" w:hAnsi="Arial"/>
          <w:color w:val="002A7C"/>
          <w:sz w:val="22"/>
          <w:szCs w:val="22"/>
        </w:rPr>
        <w:t xml:space="preserve"> </w:t>
      </w:r>
      <w:r w:rsidR="005C14F6" w:rsidRPr="001E6362">
        <w:rPr>
          <w:rFonts w:ascii="Arial" w:eastAsia="Arial" w:hAnsi="Arial"/>
          <w:color w:val="000000"/>
          <w:sz w:val="22"/>
          <w:szCs w:val="22"/>
        </w:rPr>
        <w:t>potential contractor/service provider; and</w:t>
      </w:r>
    </w:p>
    <w:p w:rsidR="005C14F6" w:rsidRPr="001E6362" w:rsidRDefault="005C14F6" w:rsidP="005C14F6">
      <w:pPr>
        <w:tabs>
          <w:tab w:val="left" w:pos="567"/>
        </w:tabs>
        <w:spacing w:line="135" w:lineRule="exact"/>
        <w:ind w:left="567" w:right="-46"/>
        <w:jc w:val="both"/>
        <w:rPr>
          <w:rFonts w:ascii="Arial" w:eastAsia="Arial" w:hAnsi="Arial"/>
          <w:color w:val="002A7C"/>
          <w:sz w:val="22"/>
          <w:szCs w:val="22"/>
        </w:rPr>
      </w:pPr>
    </w:p>
    <w:p w:rsidR="005C14F6" w:rsidRPr="001E6362" w:rsidRDefault="007E369A" w:rsidP="005C14F6">
      <w:pPr>
        <w:numPr>
          <w:ilvl w:val="1"/>
          <w:numId w:val="6"/>
        </w:numPr>
        <w:tabs>
          <w:tab w:val="left" w:pos="567"/>
          <w:tab w:val="left" w:pos="966"/>
        </w:tabs>
        <w:spacing w:line="273" w:lineRule="auto"/>
        <w:ind w:left="567" w:right="-46" w:hanging="286"/>
        <w:jc w:val="both"/>
        <w:rPr>
          <w:rFonts w:ascii="Arial" w:eastAsia="Arial" w:hAnsi="Arial"/>
          <w:color w:val="002A7C"/>
          <w:sz w:val="22"/>
          <w:szCs w:val="22"/>
        </w:rPr>
      </w:pPr>
      <w:hyperlink r:id="rId21" w:history="1">
        <w:r w:rsidR="005C14F6" w:rsidRPr="001E6362">
          <w:rPr>
            <w:rFonts w:ascii="Arial" w:eastAsia="Arial" w:hAnsi="Arial"/>
            <w:color w:val="002A7C"/>
            <w:sz w:val="22"/>
            <w:szCs w:val="22"/>
          </w:rPr>
          <w:t xml:space="preserve">Section 35 </w:t>
        </w:r>
      </w:hyperlink>
      <w:r w:rsidR="005C14F6" w:rsidRPr="001E6362">
        <w:rPr>
          <w:rFonts w:ascii="Arial" w:eastAsia="Arial" w:hAnsi="Arial"/>
          <w:color w:val="002A7C"/>
          <w:sz w:val="22"/>
          <w:szCs w:val="22"/>
        </w:rPr>
        <w:t>of the Act</w:t>
      </w:r>
      <w:r w:rsidR="005C14F6" w:rsidRPr="001E6362">
        <w:rPr>
          <w:rFonts w:ascii="Arial" w:eastAsia="Arial" w:hAnsi="Arial"/>
          <w:color w:val="000000"/>
          <w:sz w:val="22"/>
          <w:szCs w:val="22"/>
        </w:rPr>
        <w:t>: An organisation must keep and maintain a register of</w:t>
      </w:r>
      <w:r w:rsidR="005C14F6" w:rsidRPr="001E6362">
        <w:rPr>
          <w:rFonts w:ascii="Arial" w:eastAsia="Arial" w:hAnsi="Arial"/>
          <w:color w:val="002A7C"/>
          <w:sz w:val="22"/>
          <w:szCs w:val="22"/>
        </w:rPr>
        <w:t xml:space="preserve"> </w:t>
      </w:r>
      <w:r w:rsidR="005C14F6" w:rsidRPr="001E6362">
        <w:rPr>
          <w:rFonts w:ascii="Arial" w:eastAsia="Arial" w:hAnsi="Arial"/>
          <w:color w:val="000000"/>
          <w:sz w:val="22"/>
          <w:szCs w:val="22"/>
        </w:rPr>
        <w:t>contracts (a ‘contracts register’).</w:t>
      </w:r>
    </w:p>
    <w:p w:rsidR="005C14F6" w:rsidRPr="001E6362" w:rsidRDefault="005C14F6" w:rsidP="005C14F6">
      <w:pPr>
        <w:tabs>
          <w:tab w:val="left" w:pos="0"/>
        </w:tabs>
        <w:spacing w:line="259" w:lineRule="auto"/>
        <w:ind w:right="-46"/>
        <w:jc w:val="both"/>
        <w:rPr>
          <w:rFonts w:ascii="Arial" w:eastAsia="Arial" w:hAnsi="Arial"/>
          <w:sz w:val="22"/>
          <w:szCs w:val="22"/>
        </w:rPr>
      </w:pPr>
    </w:p>
    <w:p w:rsidR="005C14F6" w:rsidRPr="001E6362" w:rsidRDefault="005C14F6" w:rsidP="005C14F6">
      <w:pPr>
        <w:tabs>
          <w:tab w:val="left" w:pos="0"/>
        </w:tabs>
        <w:spacing w:line="258" w:lineRule="auto"/>
        <w:ind w:right="-46"/>
        <w:jc w:val="both"/>
        <w:rPr>
          <w:rFonts w:ascii="Arial" w:eastAsia="Arial" w:hAnsi="Arial"/>
          <w:sz w:val="22"/>
          <w:szCs w:val="22"/>
        </w:rPr>
      </w:pPr>
      <w:r w:rsidRPr="001E6362">
        <w:rPr>
          <w:rFonts w:ascii="Arial" w:eastAsia="Arial" w:hAnsi="Arial"/>
          <w:sz w:val="22"/>
          <w:szCs w:val="22"/>
        </w:rPr>
        <w:t>In addition to these minimum requirements, a public body, when not seeking offers in relation to a proposed contract, should also consider, where applicable, the general duties (</w:t>
      </w:r>
      <w:hyperlink r:id="rId22" w:history="1">
        <w:r w:rsidRPr="001E6362">
          <w:rPr>
            <w:rFonts w:ascii="Arial" w:eastAsia="Arial" w:hAnsi="Arial"/>
            <w:color w:val="002A7C"/>
            <w:sz w:val="22"/>
            <w:szCs w:val="22"/>
            <w:u w:val="single"/>
          </w:rPr>
          <w:t>section 8 of the Act</w:t>
        </w:r>
      </w:hyperlink>
      <w:r w:rsidRPr="001E6362">
        <w:rPr>
          <w:rFonts w:ascii="Arial" w:eastAsia="Arial" w:hAnsi="Arial"/>
          <w:sz w:val="22"/>
          <w:szCs w:val="22"/>
        </w:rPr>
        <w:t>); technical specifications (</w:t>
      </w:r>
      <w:hyperlink r:id="rId23" w:history="1">
        <w:r w:rsidRPr="001E6362">
          <w:rPr>
            <w:rFonts w:ascii="Arial" w:eastAsia="Arial" w:hAnsi="Arial"/>
            <w:color w:val="002A7C"/>
            <w:sz w:val="22"/>
            <w:szCs w:val="22"/>
            <w:u w:val="single"/>
          </w:rPr>
          <w:t>section 30 of the Act</w:t>
        </w:r>
      </w:hyperlink>
      <w:r w:rsidRPr="001E6362">
        <w:rPr>
          <w:rFonts w:ascii="Arial" w:eastAsia="Arial" w:hAnsi="Arial"/>
          <w:sz w:val="22"/>
          <w:szCs w:val="22"/>
        </w:rPr>
        <w:t>); and charges for participation in the procurement process (</w:t>
      </w:r>
      <w:hyperlink r:id="rId24" w:history="1">
        <w:r w:rsidRPr="001E6362">
          <w:rPr>
            <w:rFonts w:ascii="Arial" w:eastAsia="Arial" w:hAnsi="Arial"/>
            <w:color w:val="002A7C"/>
            <w:sz w:val="22"/>
            <w:szCs w:val="22"/>
            <w:u w:val="single"/>
          </w:rPr>
          <w:t>section 31 of the Act</w:t>
        </w:r>
      </w:hyperlink>
      <w:r w:rsidRPr="001E6362">
        <w:rPr>
          <w:rFonts w:ascii="Arial" w:eastAsia="Arial" w:hAnsi="Arial"/>
          <w:sz w:val="22"/>
          <w:szCs w:val="22"/>
        </w:rPr>
        <w:t>).</w:t>
      </w:r>
    </w:p>
    <w:p w:rsidR="005C14F6" w:rsidRPr="001E6362" w:rsidRDefault="005C14F6" w:rsidP="005C14F6">
      <w:pPr>
        <w:tabs>
          <w:tab w:val="left" w:pos="0"/>
        </w:tabs>
        <w:spacing w:line="259" w:lineRule="auto"/>
        <w:ind w:right="-46"/>
        <w:jc w:val="both"/>
        <w:rPr>
          <w:rFonts w:ascii="Arial" w:eastAsia="Arial" w:hAnsi="Arial"/>
          <w:sz w:val="22"/>
          <w:szCs w:val="22"/>
        </w:rPr>
      </w:pPr>
    </w:p>
    <w:p w:rsidR="005C14F6" w:rsidRPr="001E6362" w:rsidRDefault="005C14F6" w:rsidP="005C14F6">
      <w:pPr>
        <w:tabs>
          <w:tab w:val="left" w:pos="0"/>
        </w:tabs>
        <w:spacing w:line="259" w:lineRule="auto"/>
        <w:ind w:right="-46"/>
        <w:jc w:val="center"/>
        <w:rPr>
          <w:rFonts w:ascii="Arial" w:eastAsia="Arial" w:hAnsi="Arial"/>
          <w:b/>
          <w:sz w:val="22"/>
          <w:szCs w:val="22"/>
        </w:rPr>
      </w:pPr>
    </w:p>
    <w:p w:rsidR="005C14F6" w:rsidRPr="001E6362" w:rsidRDefault="00621633" w:rsidP="005C14F6">
      <w:pPr>
        <w:tabs>
          <w:tab w:val="left" w:pos="0"/>
        </w:tabs>
        <w:spacing w:line="259" w:lineRule="auto"/>
        <w:ind w:right="-46"/>
        <w:jc w:val="center"/>
        <w:rPr>
          <w:rFonts w:ascii="Arial" w:eastAsia="Arial" w:hAnsi="Arial"/>
          <w:b/>
          <w:sz w:val="24"/>
          <w:szCs w:val="22"/>
        </w:rPr>
      </w:pPr>
      <w:r w:rsidRPr="001E6362">
        <w:rPr>
          <w:rFonts w:ascii="Arial" w:eastAsia="Arial" w:hAnsi="Arial"/>
          <w:b/>
          <w:sz w:val="24"/>
          <w:szCs w:val="22"/>
        </w:rPr>
        <w:t>Specific rules for Care and S</w:t>
      </w:r>
      <w:r w:rsidR="005C14F6" w:rsidRPr="001E6362">
        <w:rPr>
          <w:rFonts w:ascii="Arial" w:eastAsia="Arial" w:hAnsi="Arial"/>
          <w:b/>
          <w:sz w:val="24"/>
          <w:szCs w:val="22"/>
        </w:rPr>
        <w:t>upport contracts below £50,000</w:t>
      </w:r>
    </w:p>
    <w:p w:rsidR="005C14F6" w:rsidRPr="001E6362" w:rsidRDefault="005C14F6" w:rsidP="005C14F6">
      <w:pPr>
        <w:tabs>
          <w:tab w:val="left" w:pos="0"/>
        </w:tabs>
        <w:spacing w:line="259" w:lineRule="auto"/>
        <w:ind w:right="-46"/>
        <w:jc w:val="both"/>
        <w:rPr>
          <w:rFonts w:ascii="Arial" w:eastAsia="Arial" w:hAnsi="Arial"/>
          <w:b/>
          <w:sz w:val="22"/>
          <w:szCs w:val="22"/>
        </w:rPr>
      </w:pPr>
    </w:p>
    <w:p w:rsidR="005C14F6" w:rsidRPr="001E6362" w:rsidRDefault="005C14F6" w:rsidP="005C14F6">
      <w:pPr>
        <w:tabs>
          <w:tab w:val="left" w:pos="0"/>
        </w:tabs>
        <w:spacing w:line="259" w:lineRule="auto"/>
        <w:ind w:right="-46"/>
        <w:jc w:val="both"/>
        <w:rPr>
          <w:rFonts w:ascii="Arial" w:eastAsia="Arial" w:hAnsi="Arial"/>
          <w:sz w:val="22"/>
          <w:szCs w:val="22"/>
        </w:rPr>
      </w:pPr>
      <w:r w:rsidRPr="001E6362">
        <w:rPr>
          <w:rFonts w:ascii="Arial" w:eastAsia="Arial" w:hAnsi="Arial"/>
          <w:sz w:val="22"/>
          <w:szCs w:val="22"/>
        </w:rPr>
        <w:t>Care and support contracts, or framework agreements, with a value below £50,000 are not regulated under the Act. As a matter of best practice a public body should however consider following a procurement process that is proportionate to the value of the contract.</w:t>
      </w:r>
    </w:p>
    <w:p w:rsidR="005C14F6" w:rsidRPr="001E6362" w:rsidRDefault="005C14F6" w:rsidP="005C14F6">
      <w:pPr>
        <w:tabs>
          <w:tab w:val="left" w:pos="0"/>
          <w:tab w:val="left" w:pos="966"/>
        </w:tabs>
        <w:spacing w:line="273" w:lineRule="auto"/>
        <w:ind w:right="-46"/>
        <w:jc w:val="both"/>
        <w:rPr>
          <w:rFonts w:ascii="Arial" w:eastAsia="Arial" w:hAnsi="Arial"/>
          <w:color w:val="000000"/>
          <w:sz w:val="24"/>
          <w:szCs w:val="22"/>
        </w:rPr>
      </w:pPr>
    </w:p>
    <w:p w:rsidR="005C14F6" w:rsidRPr="001E6362" w:rsidRDefault="005C14F6" w:rsidP="005C14F6">
      <w:pPr>
        <w:tabs>
          <w:tab w:val="left" w:pos="0"/>
          <w:tab w:val="left" w:pos="966"/>
        </w:tabs>
        <w:spacing w:line="273" w:lineRule="auto"/>
        <w:ind w:right="-46"/>
        <w:jc w:val="center"/>
        <w:rPr>
          <w:rFonts w:ascii="Arial" w:eastAsia="Arial" w:hAnsi="Arial"/>
          <w:b/>
          <w:color w:val="000000"/>
          <w:sz w:val="24"/>
          <w:szCs w:val="22"/>
        </w:rPr>
      </w:pPr>
      <w:r w:rsidRPr="001E6362">
        <w:rPr>
          <w:rFonts w:ascii="Arial" w:eastAsia="Arial" w:hAnsi="Arial"/>
          <w:b/>
          <w:color w:val="000000"/>
          <w:sz w:val="24"/>
          <w:szCs w:val="22"/>
        </w:rPr>
        <w:t>Light-touch regime</w:t>
      </w:r>
    </w:p>
    <w:p w:rsidR="005C14F6" w:rsidRPr="001E6362" w:rsidRDefault="005C14F6" w:rsidP="005C14F6">
      <w:pPr>
        <w:tabs>
          <w:tab w:val="left" w:pos="0"/>
          <w:tab w:val="left" w:pos="966"/>
        </w:tabs>
        <w:spacing w:line="273" w:lineRule="auto"/>
        <w:ind w:right="-46"/>
        <w:jc w:val="center"/>
        <w:rPr>
          <w:rFonts w:ascii="Arial" w:eastAsia="Arial" w:hAnsi="Arial"/>
          <w:b/>
          <w:color w:val="000000"/>
          <w:sz w:val="22"/>
          <w:szCs w:val="22"/>
        </w:rPr>
      </w:pPr>
    </w:p>
    <w:p w:rsidR="005C14F6" w:rsidRPr="001E6362" w:rsidRDefault="005C14F6" w:rsidP="005C14F6">
      <w:pPr>
        <w:tabs>
          <w:tab w:val="left" w:pos="0"/>
        </w:tabs>
        <w:spacing w:line="256" w:lineRule="auto"/>
        <w:ind w:right="-46"/>
        <w:jc w:val="both"/>
        <w:rPr>
          <w:rFonts w:ascii="Arial" w:eastAsia="Arial" w:hAnsi="Arial"/>
          <w:color w:val="000000"/>
          <w:sz w:val="22"/>
          <w:szCs w:val="22"/>
        </w:rPr>
      </w:pPr>
      <w:r w:rsidRPr="001E6362">
        <w:rPr>
          <w:rFonts w:ascii="Arial" w:eastAsia="Arial" w:hAnsi="Arial"/>
          <w:sz w:val="22"/>
          <w:szCs w:val="22"/>
        </w:rPr>
        <w:t xml:space="preserve">Procurement Officers should be aware that there are some other services covered by the ‘light-touch’ regime that are not health or social care. </w:t>
      </w:r>
      <w:hyperlink r:id="rId25" w:history="1">
        <w:r w:rsidRPr="001E6362">
          <w:rPr>
            <w:rFonts w:ascii="Arial" w:eastAsia="Arial" w:hAnsi="Arial"/>
            <w:color w:val="002A7C"/>
            <w:sz w:val="22"/>
            <w:szCs w:val="22"/>
            <w:u w:val="single"/>
          </w:rPr>
          <w:t>Schedule 3 of the Public Contract (Scotland) Regulations 2015</w:t>
        </w:r>
      </w:hyperlink>
      <w:r w:rsidRPr="001E6362">
        <w:rPr>
          <w:rFonts w:ascii="Arial" w:eastAsia="Arial" w:hAnsi="Arial"/>
          <w:sz w:val="22"/>
          <w:szCs w:val="22"/>
        </w:rPr>
        <w:t xml:space="preserve"> also describes those services. The ‘light-touch’ EU rules also apply to these other services for contracts above the threshold (i.e. above €750,000). For below that threshold any procurement of these services is regulated by </w:t>
      </w:r>
      <w:hyperlink r:id="rId26" w:history="1">
        <w:r w:rsidRPr="001E6362">
          <w:rPr>
            <w:rFonts w:ascii="Arial" w:eastAsia="Arial" w:hAnsi="Arial"/>
            <w:color w:val="002A7C"/>
            <w:sz w:val="22"/>
            <w:szCs w:val="22"/>
            <w:u w:val="single"/>
          </w:rPr>
          <w:t>the Act</w:t>
        </w:r>
      </w:hyperlink>
      <w:r w:rsidRPr="001E6362">
        <w:rPr>
          <w:rFonts w:ascii="Arial" w:eastAsia="Arial" w:hAnsi="Arial"/>
          <w:color w:val="000000"/>
          <w:sz w:val="22"/>
          <w:szCs w:val="22"/>
        </w:rPr>
        <w:t>.</w:t>
      </w:r>
    </w:p>
    <w:p w:rsidR="005C14F6" w:rsidRPr="00733D08" w:rsidRDefault="005C14F6" w:rsidP="005C14F6">
      <w:pPr>
        <w:tabs>
          <w:tab w:val="left" w:pos="686"/>
        </w:tabs>
        <w:spacing w:line="256" w:lineRule="auto"/>
        <w:ind w:left="686" w:right="160"/>
        <w:jc w:val="both"/>
        <w:rPr>
          <w:rFonts w:ascii="Arial" w:eastAsia="Arial" w:hAnsi="Arial"/>
          <w:color w:val="000000"/>
          <w:sz w:val="24"/>
        </w:rPr>
      </w:pPr>
    </w:p>
    <w:p w:rsidR="005C14F6" w:rsidRPr="00733D08" w:rsidRDefault="005C14F6" w:rsidP="005C14F6">
      <w:pPr>
        <w:tabs>
          <w:tab w:val="left" w:pos="686"/>
        </w:tabs>
        <w:spacing w:line="256" w:lineRule="auto"/>
        <w:ind w:left="686" w:right="160"/>
        <w:jc w:val="both"/>
        <w:rPr>
          <w:rFonts w:ascii="Arial" w:eastAsia="Arial" w:hAnsi="Arial"/>
          <w:color w:val="002A7C"/>
          <w:sz w:val="24"/>
        </w:rPr>
      </w:pPr>
    </w:p>
    <w:p w:rsidR="005C14F6" w:rsidRPr="00733D08" w:rsidRDefault="005C14F6" w:rsidP="005C14F6">
      <w:pPr>
        <w:tabs>
          <w:tab w:val="left" w:pos="686"/>
        </w:tabs>
        <w:spacing w:line="256" w:lineRule="auto"/>
        <w:ind w:left="686" w:right="160"/>
        <w:rPr>
          <w:rFonts w:ascii="Arial" w:eastAsia="Arial" w:hAnsi="Arial"/>
          <w:color w:val="002A7C"/>
          <w:sz w:val="24"/>
        </w:rPr>
      </w:pPr>
    </w:p>
    <w:p w:rsidR="005C14F6" w:rsidRPr="00733D08" w:rsidRDefault="005C14F6" w:rsidP="005C14F6">
      <w:pPr>
        <w:tabs>
          <w:tab w:val="left" w:pos="686"/>
        </w:tabs>
        <w:spacing w:line="256" w:lineRule="auto"/>
        <w:ind w:left="686" w:right="160"/>
        <w:rPr>
          <w:rFonts w:ascii="Arial" w:eastAsia="Arial" w:hAnsi="Arial"/>
          <w:color w:val="002A7C"/>
          <w:sz w:val="24"/>
        </w:rPr>
      </w:pPr>
    </w:p>
    <w:p w:rsidR="005C14F6" w:rsidRPr="00733D08" w:rsidRDefault="005C14F6" w:rsidP="005C14F6">
      <w:pPr>
        <w:tabs>
          <w:tab w:val="left" w:pos="686"/>
        </w:tabs>
        <w:spacing w:line="256" w:lineRule="auto"/>
        <w:ind w:left="686" w:right="160"/>
        <w:rPr>
          <w:rFonts w:ascii="Arial" w:eastAsia="Arial" w:hAnsi="Arial"/>
          <w:color w:val="002A7C"/>
          <w:sz w:val="24"/>
        </w:rPr>
      </w:pPr>
    </w:p>
    <w:p w:rsidR="005C14F6" w:rsidRPr="00733D08" w:rsidRDefault="005C14F6" w:rsidP="005C14F6">
      <w:pPr>
        <w:tabs>
          <w:tab w:val="left" w:pos="686"/>
        </w:tabs>
        <w:spacing w:line="256" w:lineRule="auto"/>
        <w:ind w:left="686" w:right="160"/>
        <w:rPr>
          <w:rFonts w:ascii="Arial" w:eastAsia="Arial" w:hAnsi="Arial"/>
          <w:color w:val="002A7C"/>
          <w:sz w:val="24"/>
        </w:rPr>
      </w:pPr>
    </w:p>
    <w:p w:rsidR="005C14F6" w:rsidRDefault="005C14F6" w:rsidP="005C14F6">
      <w:pPr>
        <w:rPr>
          <w:rFonts w:ascii="Arial" w:eastAsia="Arial" w:hAnsi="Arial"/>
          <w:b/>
        </w:rPr>
      </w:pPr>
      <w:r>
        <w:rPr>
          <w:rFonts w:ascii="Arial" w:eastAsia="Arial" w:hAnsi="Arial"/>
          <w:b/>
        </w:rPr>
        <w:br w:type="page"/>
      </w:r>
    </w:p>
    <w:p w:rsidR="005C14F6" w:rsidRPr="001E6362" w:rsidRDefault="005C14F6" w:rsidP="005C14F6">
      <w:pPr>
        <w:spacing w:line="0" w:lineRule="atLeast"/>
        <w:ind w:left="6"/>
        <w:jc w:val="center"/>
        <w:rPr>
          <w:rFonts w:ascii="Arial" w:eastAsia="Arial" w:hAnsi="Arial"/>
          <w:b/>
          <w:sz w:val="24"/>
        </w:rPr>
      </w:pPr>
      <w:r w:rsidRPr="001E6362">
        <w:rPr>
          <w:rFonts w:ascii="Arial" w:eastAsia="Arial" w:hAnsi="Arial"/>
          <w:b/>
          <w:sz w:val="24"/>
        </w:rPr>
        <w:lastRenderedPageBreak/>
        <w:t>FLOWCHART TO HELP DECISION MAKING FOR THE CONTINUATION OF</w:t>
      </w:r>
    </w:p>
    <w:p w:rsidR="005C14F6" w:rsidRPr="001E6362" w:rsidRDefault="005C14F6" w:rsidP="005C14F6">
      <w:pPr>
        <w:spacing w:line="12" w:lineRule="exact"/>
        <w:jc w:val="center"/>
        <w:rPr>
          <w:rFonts w:ascii="Arial" w:eastAsia="Times New Roman" w:hAnsi="Arial"/>
          <w:b/>
          <w:sz w:val="24"/>
        </w:rPr>
      </w:pPr>
    </w:p>
    <w:p w:rsidR="005C14F6" w:rsidRPr="001E6362" w:rsidRDefault="005C14F6" w:rsidP="005C14F6">
      <w:pPr>
        <w:spacing w:line="0" w:lineRule="atLeast"/>
        <w:ind w:left="6"/>
        <w:jc w:val="center"/>
        <w:rPr>
          <w:rFonts w:ascii="Arial" w:eastAsia="Arial" w:hAnsi="Arial"/>
          <w:b/>
          <w:sz w:val="24"/>
        </w:rPr>
      </w:pPr>
      <w:r w:rsidRPr="001E6362">
        <w:rPr>
          <w:rFonts w:ascii="Arial" w:eastAsia="Arial" w:hAnsi="Arial"/>
          <w:b/>
          <w:sz w:val="24"/>
        </w:rPr>
        <w:t>AN EXISTING SERVICE</w:t>
      </w:r>
    </w:p>
    <w:p w:rsidR="005C14F6" w:rsidRPr="00733D08" w:rsidRDefault="005C14F6" w:rsidP="005C14F6">
      <w:pPr>
        <w:spacing w:line="376" w:lineRule="exact"/>
        <w:rPr>
          <w:rFonts w:ascii="Arial" w:eastAsia="Times New Roman" w:hAnsi="Arial"/>
        </w:rPr>
      </w:pPr>
      <w:r>
        <w:rPr>
          <w:rFonts w:ascii="Arial" w:eastAsia="Times New Roman" w:hAnsi="Arial"/>
          <w:noProof/>
        </w:rPr>
        <mc:AlternateContent>
          <mc:Choice Requires="wps">
            <w:drawing>
              <wp:anchor distT="0" distB="0" distL="114300" distR="114300" simplePos="0" relativeHeight="251662336" behindDoc="0" locked="0" layoutInCell="1" allowOverlap="1" wp14:anchorId="1A93B13F" wp14:editId="2F03861E">
                <wp:simplePos x="0" y="0"/>
                <wp:positionH relativeFrom="column">
                  <wp:posOffset>713105</wp:posOffset>
                </wp:positionH>
                <wp:positionV relativeFrom="paragraph">
                  <wp:posOffset>156210</wp:posOffset>
                </wp:positionV>
                <wp:extent cx="4716145" cy="2278380"/>
                <wp:effectExtent l="8255" t="8255"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6145" cy="2278380"/>
                        </a:xfrm>
                        <a:prstGeom prst="rect">
                          <a:avLst/>
                        </a:prstGeom>
                        <a:noFill/>
                        <a:ln w="15875">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DA4F0" id="Rectangle 4" o:spid="_x0000_s1026" style="position:absolute;margin-left:56.15pt;margin-top:12.3pt;width:371.35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" filled="f" strokecolor="#0070c0" strokeweight="1.25pt"/>
            </w:pict>
          </mc:Fallback>
        </mc:AlternateContent>
      </w:r>
    </w:p>
    <w:p w:rsidR="005C14F6" w:rsidRPr="00733D08" w:rsidRDefault="005C14F6" w:rsidP="005C14F6">
      <w:pPr>
        <w:numPr>
          <w:ilvl w:val="0"/>
          <w:numId w:val="7"/>
        </w:numPr>
        <w:tabs>
          <w:tab w:val="left" w:pos="1546"/>
        </w:tabs>
        <w:spacing w:line="269" w:lineRule="auto"/>
        <w:ind w:left="1546" w:right="1640" w:hanging="236"/>
        <w:rPr>
          <w:rFonts w:ascii="Arial" w:eastAsia="Arial" w:hAnsi="Arial"/>
          <w:sz w:val="18"/>
        </w:rPr>
      </w:pPr>
      <w:r w:rsidRPr="00733D08">
        <w:rPr>
          <w:rFonts w:ascii="Arial" w:eastAsia="Arial" w:hAnsi="Arial"/>
          <w:sz w:val="18"/>
        </w:rPr>
        <w:t>Analyse individual needs and intended outcomes to determine the type of service required and evaluate the existing arrangements for delivering the service.</w:t>
      </w:r>
    </w:p>
    <w:p w:rsidR="005C14F6" w:rsidRPr="00733D08" w:rsidRDefault="005C14F6" w:rsidP="005C14F6">
      <w:pPr>
        <w:spacing w:line="297" w:lineRule="exact"/>
        <w:rPr>
          <w:rFonts w:ascii="Arial" w:eastAsia="Times New Roman" w:hAnsi="Arial"/>
        </w:rPr>
      </w:pPr>
    </w:p>
    <w:p w:rsidR="005C14F6" w:rsidRPr="00733D08" w:rsidRDefault="005C14F6" w:rsidP="005C14F6">
      <w:pPr>
        <w:numPr>
          <w:ilvl w:val="0"/>
          <w:numId w:val="8"/>
        </w:numPr>
        <w:tabs>
          <w:tab w:val="left" w:pos="1546"/>
        </w:tabs>
        <w:spacing w:line="274" w:lineRule="auto"/>
        <w:ind w:left="1546" w:right="1400" w:hanging="236"/>
        <w:rPr>
          <w:rFonts w:ascii="Arial" w:eastAsia="Arial" w:hAnsi="Arial"/>
          <w:sz w:val="18"/>
        </w:rPr>
      </w:pPr>
      <w:r w:rsidRPr="00733D08">
        <w:rPr>
          <w:rFonts w:ascii="Arial" w:eastAsia="Arial" w:hAnsi="Arial"/>
          <w:sz w:val="18"/>
        </w:rPr>
        <w:t>Involve people who use services and carers in defining their needs and desired outcomes and get their views on service improvement and continuity.</w:t>
      </w:r>
    </w:p>
    <w:p w:rsidR="005C14F6" w:rsidRPr="00733D08" w:rsidRDefault="005C14F6" w:rsidP="005C14F6">
      <w:pPr>
        <w:spacing w:line="72" w:lineRule="exact"/>
        <w:rPr>
          <w:rFonts w:ascii="Arial" w:eastAsia="Arial" w:hAnsi="Arial"/>
          <w:sz w:val="18"/>
        </w:rPr>
      </w:pPr>
    </w:p>
    <w:p w:rsidR="005C14F6" w:rsidRPr="00733D08" w:rsidRDefault="005C14F6" w:rsidP="005C14F6">
      <w:pPr>
        <w:numPr>
          <w:ilvl w:val="0"/>
          <w:numId w:val="8"/>
        </w:numPr>
        <w:tabs>
          <w:tab w:val="left" w:pos="1546"/>
        </w:tabs>
        <w:spacing w:line="262" w:lineRule="auto"/>
        <w:ind w:left="1546" w:right="1600" w:hanging="236"/>
        <w:rPr>
          <w:rFonts w:ascii="Arial" w:eastAsia="Arial" w:hAnsi="Arial"/>
          <w:sz w:val="18"/>
        </w:rPr>
      </w:pPr>
      <w:r w:rsidRPr="00733D08">
        <w:rPr>
          <w:rFonts w:ascii="Arial" w:eastAsia="Arial" w:hAnsi="Arial"/>
          <w:sz w:val="18"/>
        </w:rPr>
        <w:t>Review information from people who use services and carers, contract management and service review, regulatory bodies and commissioning strategies to evaluate existing arrangements against best value principles.</w:t>
      </w:r>
    </w:p>
    <w:p w:rsidR="005C14F6" w:rsidRPr="00733D08" w:rsidRDefault="005C14F6" w:rsidP="005C14F6">
      <w:pPr>
        <w:spacing w:line="83" w:lineRule="exact"/>
        <w:rPr>
          <w:rFonts w:ascii="Arial" w:eastAsia="Arial" w:hAnsi="Arial"/>
          <w:sz w:val="18"/>
        </w:rPr>
      </w:pPr>
    </w:p>
    <w:p w:rsidR="005C14F6" w:rsidRPr="00733D08" w:rsidRDefault="005C14F6" w:rsidP="005C14F6">
      <w:pPr>
        <w:numPr>
          <w:ilvl w:val="0"/>
          <w:numId w:val="8"/>
        </w:numPr>
        <w:tabs>
          <w:tab w:val="left" w:pos="1546"/>
        </w:tabs>
        <w:spacing w:line="0" w:lineRule="atLeast"/>
        <w:ind w:left="1546" w:hanging="236"/>
        <w:jc w:val="both"/>
        <w:rPr>
          <w:rFonts w:ascii="Arial" w:eastAsia="Arial" w:hAnsi="Arial"/>
          <w:sz w:val="18"/>
        </w:rPr>
      </w:pPr>
      <w:r w:rsidRPr="00733D08">
        <w:rPr>
          <w:rFonts w:ascii="Arial" w:eastAsia="Arial" w:hAnsi="Arial"/>
          <w:sz w:val="18"/>
        </w:rPr>
        <w:t>Assess the needs for improvement and service continuity.</w:t>
      </w:r>
    </w:p>
    <w:p w:rsidR="005C14F6" w:rsidRPr="00733D08" w:rsidRDefault="005C14F6" w:rsidP="005C14F6">
      <w:pPr>
        <w:spacing w:line="122" w:lineRule="exact"/>
        <w:rPr>
          <w:rFonts w:ascii="Arial" w:eastAsia="Arial" w:hAnsi="Arial"/>
          <w:sz w:val="18"/>
        </w:rPr>
      </w:pPr>
    </w:p>
    <w:p w:rsidR="005C14F6" w:rsidRPr="00733D08" w:rsidRDefault="005C14F6" w:rsidP="005C14F6">
      <w:pPr>
        <w:numPr>
          <w:ilvl w:val="0"/>
          <w:numId w:val="8"/>
        </w:numPr>
        <w:tabs>
          <w:tab w:val="left" w:pos="1546"/>
        </w:tabs>
        <w:spacing w:line="0" w:lineRule="atLeast"/>
        <w:ind w:left="1546" w:hanging="236"/>
        <w:jc w:val="both"/>
        <w:rPr>
          <w:rFonts w:ascii="Arial" w:eastAsia="Arial" w:hAnsi="Arial"/>
          <w:sz w:val="18"/>
        </w:rPr>
      </w:pPr>
      <w:r w:rsidRPr="00733D08">
        <w:rPr>
          <w:rFonts w:ascii="Arial" w:eastAsia="Arial" w:hAnsi="Arial"/>
          <w:sz w:val="18"/>
        </w:rPr>
        <w:t>Consider available resources.</w:t>
      </w:r>
    </w:p>
    <w:p w:rsidR="005C14F6" w:rsidRPr="00733D08" w:rsidRDefault="005C14F6" w:rsidP="005C14F6">
      <w:pPr>
        <w:spacing w:line="200" w:lineRule="exact"/>
        <w:rPr>
          <w:rFonts w:ascii="Arial" w:eastAsia="Times New Roman" w:hAnsi="Arial"/>
        </w:rPr>
      </w:pPr>
      <w:r>
        <w:rPr>
          <w:rFonts w:ascii="Arial" w:hAnsi="Arial"/>
          <w:noProof/>
        </w:rPr>
        <w:drawing>
          <wp:anchor distT="0" distB="0" distL="114300" distR="114300" simplePos="0" relativeHeight="251659264" behindDoc="1" locked="0" layoutInCell="0" allowOverlap="1" wp14:anchorId="353D0AA2" wp14:editId="01CDCB9C">
            <wp:simplePos x="0" y="0"/>
            <wp:positionH relativeFrom="column">
              <wp:posOffset>711200</wp:posOffset>
            </wp:positionH>
            <wp:positionV relativeFrom="paragraph">
              <wp:posOffset>102235</wp:posOffset>
            </wp:positionV>
            <wp:extent cx="4716145" cy="2720975"/>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16145" cy="272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4F6" w:rsidRPr="00733D08" w:rsidRDefault="005C14F6" w:rsidP="005C14F6">
      <w:pPr>
        <w:spacing w:line="200" w:lineRule="exact"/>
        <w:rPr>
          <w:rFonts w:ascii="Arial" w:eastAsia="Times New Roman" w:hAnsi="Arial"/>
        </w:rPr>
      </w:pPr>
    </w:p>
    <w:p w:rsidR="005C14F6" w:rsidRPr="00733D08" w:rsidRDefault="005C14F6" w:rsidP="005C14F6">
      <w:pPr>
        <w:spacing w:line="300" w:lineRule="exact"/>
        <w:rPr>
          <w:rFonts w:ascii="Arial" w:eastAsia="Times New Roman" w:hAnsi="Arial"/>
        </w:rPr>
      </w:pPr>
    </w:p>
    <w:p w:rsidR="005C14F6" w:rsidRPr="00733D08" w:rsidRDefault="005C14F6" w:rsidP="005C14F6">
      <w:pPr>
        <w:spacing w:line="0" w:lineRule="atLeast"/>
        <w:ind w:left="1306"/>
        <w:rPr>
          <w:rFonts w:ascii="Arial" w:eastAsia="Arial" w:hAnsi="Arial"/>
          <w:sz w:val="18"/>
        </w:rPr>
      </w:pPr>
      <w:r w:rsidRPr="00733D08">
        <w:rPr>
          <w:rFonts w:ascii="Arial" w:eastAsia="Arial" w:hAnsi="Arial"/>
          <w:sz w:val="18"/>
        </w:rPr>
        <w:t>2. Consider the options for delivering the service.</w:t>
      </w:r>
    </w:p>
    <w:p w:rsidR="005C14F6" w:rsidRPr="00733D08" w:rsidRDefault="005C14F6" w:rsidP="005C14F6">
      <w:pPr>
        <w:spacing w:line="122" w:lineRule="exact"/>
        <w:rPr>
          <w:rFonts w:ascii="Arial" w:eastAsia="Times New Roman" w:hAnsi="Arial"/>
        </w:rPr>
      </w:pPr>
    </w:p>
    <w:p w:rsidR="005C14F6" w:rsidRPr="00733D08" w:rsidRDefault="005C14F6" w:rsidP="005C14F6">
      <w:pPr>
        <w:numPr>
          <w:ilvl w:val="0"/>
          <w:numId w:val="9"/>
        </w:numPr>
        <w:tabs>
          <w:tab w:val="left" w:pos="1546"/>
        </w:tabs>
        <w:spacing w:line="274" w:lineRule="auto"/>
        <w:ind w:left="1546" w:right="1960" w:hanging="236"/>
        <w:jc w:val="both"/>
        <w:rPr>
          <w:rFonts w:ascii="Arial" w:eastAsia="Arial" w:hAnsi="Arial"/>
          <w:sz w:val="18"/>
        </w:rPr>
      </w:pPr>
      <w:r w:rsidRPr="00733D08">
        <w:rPr>
          <w:rFonts w:ascii="Arial" w:eastAsia="Arial" w:hAnsi="Arial"/>
          <w:sz w:val="18"/>
        </w:rPr>
        <w:t>Should the service be provided by means of another arrangement, for example in house?</w:t>
      </w:r>
    </w:p>
    <w:p w:rsidR="005C14F6" w:rsidRPr="00733D08" w:rsidRDefault="005C14F6" w:rsidP="005C14F6">
      <w:pPr>
        <w:spacing w:line="200" w:lineRule="exact"/>
        <w:rPr>
          <w:rFonts w:ascii="Arial" w:eastAsia="Times New Roman" w:hAnsi="Arial"/>
        </w:rPr>
      </w:pPr>
    </w:p>
    <w:p w:rsidR="005C14F6" w:rsidRPr="00733D08" w:rsidRDefault="005C14F6" w:rsidP="005C14F6">
      <w:pPr>
        <w:spacing w:line="200" w:lineRule="exact"/>
        <w:rPr>
          <w:rFonts w:ascii="Arial" w:eastAsia="Times New Roman" w:hAnsi="Arial"/>
        </w:rPr>
      </w:pPr>
    </w:p>
    <w:p w:rsidR="005C14F6" w:rsidRPr="00733D08" w:rsidRDefault="005C14F6" w:rsidP="005C14F6">
      <w:pPr>
        <w:spacing w:line="324" w:lineRule="exact"/>
        <w:rPr>
          <w:rFonts w:ascii="Arial" w:eastAsia="Times New Roman" w:hAnsi="Arial"/>
        </w:rPr>
      </w:pPr>
    </w:p>
    <w:p w:rsidR="005C14F6" w:rsidRPr="00733D08" w:rsidRDefault="005C14F6" w:rsidP="005C14F6">
      <w:pPr>
        <w:numPr>
          <w:ilvl w:val="0"/>
          <w:numId w:val="10"/>
        </w:numPr>
        <w:tabs>
          <w:tab w:val="left" w:pos="1546"/>
        </w:tabs>
        <w:spacing w:line="274" w:lineRule="auto"/>
        <w:ind w:left="1546" w:right="1460" w:hanging="236"/>
        <w:jc w:val="both"/>
        <w:rPr>
          <w:rFonts w:ascii="Arial" w:eastAsia="Arial" w:hAnsi="Arial"/>
          <w:sz w:val="18"/>
        </w:rPr>
      </w:pPr>
      <w:r w:rsidRPr="00733D08">
        <w:rPr>
          <w:rFonts w:ascii="Arial" w:eastAsia="Arial" w:hAnsi="Arial"/>
          <w:sz w:val="18"/>
        </w:rPr>
        <w:t xml:space="preserve">Consider whether the </w:t>
      </w:r>
      <w:proofErr w:type="spellStart"/>
      <w:r w:rsidRPr="00733D08">
        <w:rPr>
          <w:rFonts w:ascii="Arial" w:eastAsia="Arial" w:hAnsi="Arial"/>
          <w:sz w:val="18"/>
        </w:rPr>
        <w:t>TFEU</w:t>
      </w:r>
      <w:proofErr w:type="spellEnd"/>
      <w:r w:rsidRPr="00733D08">
        <w:rPr>
          <w:rFonts w:ascii="Arial" w:eastAsia="Arial" w:hAnsi="Arial"/>
          <w:sz w:val="18"/>
        </w:rPr>
        <w:t xml:space="preserve"> fundamental principles and relevant legislation may require the contract to be advertised and awarded by competition.</w:t>
      </w:r>
    </w:p>
    <w:p w:rsidR="005C14F6" w:rsidRPr="00733D08" w:rsidRDefault="005C14F6" w:rsidP="005C14F6">
      <w:pPr>
        <w:spacing w:line="73" w:lineRule="exact"/>
        <w:rPr>
          <w:rFonts w:ascii="Arial" w:eastAsia="Times New Roman" w:hAnsi="Arial"/>
        </w:rPr>
      </w:pPr>
    </w:p>
    <w:p w:rsidR="005C14F6" w:rsidRPr="00733D08" w:rsidRDefault="005C14F6" w:rsidP="005C14F6">
      <w:pPr>
        <w:numPr>
          <w:ilvl w:val="0"/>
          <w:numId w:val="11"/>
        </w:numPr>
        <w:tabs>
          <w:tab w:val="left" w:pos="1546"/>
        </w:tabs>
        <w:spacing w:line="274" w:lineRule="auto"/>
        <w:ind w:left="1546" w:right="1740" w:hanging="236"/>
        <w:jc w:val="both"/>
        <w:rPr>
          <w:rFonts w:ascii="Arial" w:eastAsia="Arial" w:hAnsi="Arial"/>
          <w:sz w:val="18"/>
        </w:rPr>
      </w:pPr>
      <w:r w:rsidRPr="00733D08">
        <w:rPr>
          <w:rFonts w:ascii="Arial" w:eastAsia="Arial" w:hAnsi="Arial"/>
          <w:sz w:val="18"/>
        </w:rPr>
        <w:t>Is it possible to demonstrate that the contract is of no interest to service providers located in other member states?</w:t>
      </w:r>
    </w:p>
    <w:p w:rsidR="005C14F6" w:rsidRPr="00733D08" w:rsidRDefault="005C14F6" w:rsidP="005C14F6">
      <w:pPr>
        <w:spacing w:line="72" w:lineRule="exact"/>
        <w:rPr>
          <w:rFonts w:ascii="Arial" w:eastAsia="Arial" w:hAnsi="Arial"/>
          <w:sz w:val="18"/>
        </w:rPr>
      </w:pPr>
    </w:p>
    <w:p w:rsidR="005C14F6" w:rsidRPr="00733D08" w:rsidRDefault="005C14F6" w:rsidP="005C14F6">
      <w:pPr>
        <w:numPr>
          <w:ilvl w:val="0"/>
          <w:numId w:val="11"/>
        </w:numPr>
        <w:tabs>
          <w:tab w:val="left" w:pos="1546"/>
        </w:tabs>
        <w:spacing w:line="274" w:lineRule="auto"/>
        <w:ind w:left="1546" w:right="1520" w:hanging="236"/>
        <w:jc w:val="both"/>
        <w:rPr>
          <w:rFonts w:ascii="Arial" w:eastAsia="Arial" w:hAnsi="Arial"/>
          <w:sz w:val="18"/>
        </w:rPr>
      </w:pPr>
      <w:r w:rsidRPr="00733D08">
        <w:rPr>
          <w:rFonts w:ascii="Arial" w:eastAsia="Arial" w:hAnsi="Arial"/>
          <w:sz w:val="18"/>
        </w:rPr>
        <w:t>Is the total sum to be paid under the contract so low that service providers located in other Member States would not be interested in the contract?</w:t>
      </w:r>
    </w:p>
    <w:p w:rsidR="005C14F6" w:rsidRPr="00733D08" w:rsidRDefault="005C14F6" w:rsidP="005C14F6">
      <w:pPr>
        <w:spacing w:line="72" w:lineRule="exact"/>
        <w:rPr>
          <w:rFonts w:ascii="Arial" w:eastAsia="Arial" w:hAnsi="Arial"/>
          <w:sz w:val="18"/>
        </w:rPr>
      </w:pPr>
    </w:p>
    <w:p w:rsidR="005C14F6" w:rsidRPr="00733D08" w:rsidRDefault="005C14F6" w:rsidP="005C14F6">
      <w:pPr>
        <w:numPr>
          <w:ilvl w:val="0"/>
          <w:numId w:val="11"/>
        </w:numPr>
        <w:tabs>
          <w:tab w:val="left" w:pos="1546"/>
        </w:tabs>
        <w:spacing w:line="274" w:lineRule="auto"/>
        <w:ind w:left="1546" w:right="1680" w:hanging="236"/>
        <w:jc w:val="both"/>
        <w:rPr>
          <w:rFonts w:ascii="Arial" w:eastAsia="Arial" w:hAnsi="Arial"/>
          <w:sz w:val="18"/>
        </w:rPr>
      </w:pPr>
      <w:r w:rsidRPr="00733D08">
        <w:rPr>
          <w:rFonts w:ascii="Arial" w:eastAsia="Arial" w:hAnsi="Arial"/>
          <w:sz w:val="18"/>
        </w:rPr>
        <w:t>Is the service of such a specialised nature that no-cross border market of suitable service providers exists?</w:t>
      </w:r>
    </w:p>
    <w:p w:rsidR="005C14F6" w:rsidRPr="00733D08" w:rsidRDefault="005C14F6" w:rsidP="005C14F6">
      <w:pPr>
        <w:spacing w:line="200" w:lineRule="exact"/>
        <w:rPr>
          <w:rFonts w:ascii="Arial" w:eastAsia="Times New Roman" w:hAnsi="Arial"/>
        </w:rPr>
      </w:pPr>
      <w:r>
        <w:rPr>
          <w:rFonts w:ascii="Arial" w:hAnsi="Arial"/>
          <w:noProof/>
        </w:rPr>
        <w:drawing>
          <wp:anchor distT="0" distB="0" distL="114300" distR="114300" simplePos="0" relativeHeight="251660288" behindDoc="1" locked="0" layoutInCell="0" allowOverlap="1" wp14:anchorId="4F08E295" wp14:editId="22E94FD7">
            <wp:simplePos x="0" y="0"/>
            <wp:positionH relativeFrom="column">
              <wp:posOffset>711200</wp:posOffset>
            </wp:positionH>
            <wp:positionV relativeFrom="paragraph">
              <wp:posOffset>70485</wp:posOffset>
            </wp:positionV>
            <wp:extent cx="4716145" cy="7112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6145"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4F6" w:rsidRPr="00733D08" w:rsidRDefault="005C14F6" w:rsidP="005C14F6">
      <w:pPr>
        <w:spacing w:line="200" w:lineRule="exact"/>
        <w:rPr>
          <w:rFonts w:ascii="Arial" w:eastAsia="Times New Roman" w:hAnsi="Arial"/>
        </w:rPr>
      </w:pPr>
    </w:p>
    <w:p w:rsidR="005C14F6" w:rsidRPr="00733D08" w:rsidRDefault="005C14F6" w:rsidP="005C14F6">
      <w:pPr>
        <w:spacing w:line="247" w:lineRule="exact"/>
        <w:rPr>
          <w:rFonts w:ascii="Arial" w:eastAsia="Times New Roman" w:hAnsi="Arial"/>
        </w:rPr>
      </w:pPr>
    </w:p>
    <w:p w:rsidR="005C14F6" w:rsidRPr="00733D08" w:rsidRDefault="005C14F6" w:rsidP="005C14F6">
      <w:pPr>
        <w:numPr>
          <w:ilvl w:val="0"/>
          <w:numId w:val="12"/>
        </w:numPr>
        <w:tabs>
          <w:tab w:val="left" w:pos="1546"/>
        </w:tabs>
        <w:spacing w:line="274" w:lineRule="auto"/>
        <w:ind w:left="1546" w:right="2060" w:hanging="236"/>
        <w:jc w:val="both"/>
        <w:rPr>
          <w:rFonts w:ascii="Arial" w:eastAsia="Arial" w:hAnsi="Arial"/>
          <w:sz w:val="18"/>
        </w:rPr>
      </w:pPr>
      <w:r w:rsidRPr="00733D08">
        <w:rPr>
          <w:rFonts w:ascii="Arial" w:eastAsia="Arial" w:hAnsi="Arial"/>
          <w:sz w:val="18"/>
        </w:rPr>
        <w:t>Do regulations and standing orders allow the contract to be awarded without competition.</w:t>
      </w:r>
    </w:p>
    <w:p w:rsidR="005C14F6" w:rsidRPr="00733D08" w:rsidRDefault="005C14F6" w:rsidP="005C14F6">
      <w:pPr>
        <w:spacing w:line="200" w:lineRule="exact"/>
        <w:rPr>
          <w:rFonts w:ascii="Arial" w:eastAsia="Arial" w:hAnsi="Arial"/>
          <w:sz w:val="18"/>
        </w:rPr>
      </w:pPr>
      <w:r>
        <w:rPr>
          <w:rFonts w:ascii="Arial" w:hAnsi="Arial"/>
          <w:noProof/>
        </w:rPr>
        <w:drawing>
          <wp:anchor distT="0" distB="0" distL="114300" distR="114300" simplePos="0" relativeHeight="251661312" behindDoc="1" locked="0" layoutInCell="0" allowOverlap="1" wp14:anchorId="6BA8B030" wp14:editId="417C0D69">
            <wp:simplePos x="0" y="0"/>
            <wp:positionH relativeFrom="column">
              <wp:posOffset>711200</wp:posOffset>
            </wp:positionH>
            <wp:positionV relativeFrom="paragraph">
              <wp:posOffset>71120</wp:posOffset>
            </wp:positionV>
            <wp:extent cx="4716145" cy="14820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16145"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4F6" w:rsidRPr="00733D08" w:rsidRDefault="005C14F6" w:rsidP="005C14F6">
      <w:pPr>
        <w:spacing w:line="200" w:lineRule="exact"/>
        <w:rPr>
          <w:rFonts w:ascii="Arial" w:eastAsia="Arial" w:hAnsi="Arial"/>
          <w:sz w:val="18"/>
        </w:rPr>
      </w:pPr>
    </w:p>
    <w:p w:rsidR="005C14F6" w:rsidRPr="00733D08" w:rsidRDefault="005C14F6" w:rsidP="005C14F6">
      <w:pPr>
        <w:spacing w:line="250" w:lineRule="exact"/>
        <w:rPr>
          <w:rFonts w:ascii="Arial" w:eastAsia="Arial" w:hAnsi="Arial"/>
          <w:sz w:val="18"/>
        </w:rPr>
      </w:pPr>
    </w:p>
    <w:p w:rsidR="005C14F6" w:rsidRPr="00733D08" w:rsidRDefault="005C14F6" w:rsidP="005C14F6">
      <w:pPr>
        <w:numPr>
          <w:ilvl w:val="0"/>
          <w:numId w:val="12"/>
        </w:numPr>
        <w:tabs>
          <w:tab w:val="left" w:pos="1546"/>
        </w:tabs>
        <w:spacing w:line="274" w:lineRule="auto"/>
        <w:ind w:left="1546" w:right="1420" w:hanging="236"/>
        <w:jc w:val="both"/>
        <w:rPr>
          <w:rFonts w:ascii="Arial" w:eastAsia="Arial" w:hAnsi="Arial"/>
          <w:sz w:val="18"/>
        </w:rPr>
      </w:pPr>
      <w:r w:rsidRPr="00733D08">
        <w:rPr>
          <w:rFonts w:ascii="Arial" w:eastAsia="Arial" w:hAnsi="Arial"/>
          <w:sz w:val="18"/>
        </w:rPr>
        <w:t>Does analysis of the benefits and risks to service users and service delivery suggest that the contract should be renewed without competition.</w:t>
      </w:r>
    </w:p>
    <w:p w:rsidR="005C14F6" w:rsidRPr="00733D08" w:rsidRDefault="005C14F6" w:rsidP="005C14F6">
      <w:pPr>
        <w:spacing w:line="73" w:lineRule="exact"/>
        <w:rPr>
          <w:rFonts w:ascii="Arial" w:eastAsia="Times New Roman" w:hAnsi="Arial"/>
        </w:rPr>
      </w:pPr>
    </w:p>
    <w:p w:rsidR="005C14F6" w:rsidRPr="00733D08" w:rsidRDefault="005C14F6" w:rsidP="005C14F6">
      <w:pPr>
        <w:numPr>
          <w:ilvl w:val="0"/>
          <w:numId w:val="13"/>
        </w:numPr>
        <w:tabs>
          <w:tab w:val="left" w:pos="1546"/>
        </w:tabs>
        <w:spacing w:line="258" w:lineRule="auto"/>
        <w:ind w:left="1546" w:right="1360" w:hanging="236"/>
        <w:rPr>
          <w:rFonts w:ascii="Arial" w:eastAsia="Arial" w:hAnsi="Arial"/>
          <w:sz w:val="18"/>
        </w:rPr>
      </w:pPr>
      <w:r w:rsidRPr="00733D08">
        <w:rPr>
          <w:rFonts w:ascii="Arial" w:eastAsia="Arial" w:hAnsi="Arial"/>
          <w:sz w:val="18"/>
        </w:rPr>
        <w:t>Does consideration of the impact that a change in service provision or provider will have on people who use services and carers, continuity or service, regulatory requirements, the quality and cost of the service, the market and the workforce suggest that the contract should be renewed without competition?</w:t>
      </w:r>
    </w:p>
    <w:p w:rsidR="005C14F6" w:rsidRPr="00733D08" w:rsidRDefault="005C14F6" w:rsidP="005C14F6">
      <w:pPr>
        <w:spacing w:line="314" w:lineRule="exact"/>
        <w:rPr>
          <w:rFonts w:ascii="Arial" w:eastAsia="Times New Roman" w:hAnsi="Arial"/>
        </w:rPr>
      </w:pPr>
    </w:p>
    <w:p w:rsidR="005C14F6" w:rsidRPr="00733D08" w:rsidRDefault="005C14F6" w:rsidP="005C14F6">
      <w:pPr>
        <w:spacing w:line="0" w:lineRule="atLeast"/>
        <w:ind w:left="6"/>
        <w:rPr>
          <w:rFonts w:ascii="Arial" w:eastAsia="Arial" w:hAnsi="Arial"/>
          <w:sz w:val="16"/>
        </w:rPr>
      </w:pPr>
    </w:p>
    <w:p w:rsidR="005C14F6" w:rsidRPr="00733D08" w:rsidRDefault="005C14F6" w:rsidP="005C14F6">
      <w:pPr>
        <w:spacing w:line="8" w:lineRule="exact"/>
        <w:rPr>
          <w:rFonts w:ascii="Arial" w:eastAsia="Times New Roman" w:hAnsi="Arial"/>
        </w:rPr>
      </w:pPr>
    </w:p>
    <w:p w:rsidR="005C14F6" w:rsidRPr="00733D08" w:rsidRDefault="005C14F6" w:rsidP="005C14F6">
      <w:pPr>
        <w:numPr>
          <w:ilvl w:val="0"/>
          <w:numId w:val="14"/>
        </w:numPr>
        <w:tabs>
          <w:tab w:val="left" w:pos="106"/>
        </w:tabs>
        <w:spacing w:line="250" w:lineRule="auto"/>
        <w:ind w:left="106" w:hanging="106"/>
        <w:jc w:val="both"/>
        <w:rPr>
          <w:rFonts w:ascii="Arial" w:eastAsia="Arial" w:hAnsi="Arial"/>
          <w:sz w:val="16"/>
        </w:rPr>
      </w:pPr>
      <w:r w:rsidRPr="00733D08">
        <w:rPr>
          <w:rFonts w:ascii="Arial" w:eastAsia="Arial" w:hAnsi="Arial"/>
          <w:sz w:val="16"/>
        </w:rPr>
        <w:t>A public body will want to consider the answers to all of these types of questions – and any other relevant considerations on a case-by-case basis – before reaching a decision about whether it needs to compete, or direct award,</w:t>
      </w:r>
    </w:p>
    <w:p w:rsidR="005C14F6" w:rsidRPr="00733D08" w:rsidRDefault="005C14F6" w:rsidP="005C14F6">
      <w:pPr>
        <w:spacing w:line="0" w:lineRule="atLeast"/>
        <w:ind w:left="106"/>
        <w:jc w:val="both"/>
        <w:rPr>
          <w:rFonts w:ascii="Arial" w:eastAsia="Arial" w:hAnsi="Arial"/>
          <w:sz w:val="16"/>
        </w:rPr>
      </w:pPr>
      <w:r w:rsidRPr="00733D08">
        <w:rPr>
          <w:rFonts w:ascii="Arial" w:eastAsia="Arial" w:hAnsi="Arial"/>
          <w:sz w:val="16"/>
        </w:rPr>
        <w:t>a health or social care services contract.</w:t>
      </w:r>
    </w:p>
    <w:p w:rsidR="005C14F6" w:rsidRPr="00733D08" w:rsidRDefault="005C14F6" w:rsidP="005C14F6">
      <w:pPr>
        <w:spacing w:line="128" w:lineRule="exact"/>
        <w:rPr>
          <w:rFonts w:ascii="Arial" w:eastAsia="Arial" w:hAnsi="Arial"/>
          <w:sz w:val="16"/>
        </w:rPr>
      </w:pPr>
    </w:p>
    <w:p w:rsidR="00E3599D" w:rsidRPr="005C14F6" w:rsidRDefault="005C14F6" w:rsidP="005C14F6">
      <w:r w:rsidRPr="00733D08">
        <w:rPr>
          <w:rFonts w:ascii="Arial" w:eastAsia="Arial" w:hAnsi="Arial"/>
          <w:sz w:val="16"/>
        </w:rPr>
        <w:t xml:space="preserve">There is no discretion for a public body to directly award health or social care contracts that are equal to, or greater than, the EU-regulated threshold of €750,000 and which are regulated by </w:t>
      </w:r>
      <w:hyperlink r:id="rId30" w:history="1">
        <w:r w:rsidRPr="00733D08">
          <w:rPr>
            <w:rFonts w:ascii="Arial" w:eastAsia="Arial" w:hAnsi="Arial"/>
            <w:color w:val="002A7C"/>
            <w:sz w:val="16"/>
            <w:u w:val="single"/>
          </w:rPr>
          <w:t>The Public Contracts (Scotland) Regulations 2015</w:t>
        </w:r>
      </w:hyperlink>
      <w:r w:rsidRPr="00733D08">
        <w:rPr>
          <w:rFonts w:ascii="Arial" w:eastAsia="Arial" w:hAnsi="Arial"/>
          <w:sz w:val="16"/>
        </w:rPr>
        <w:t xml:space="preserve">. See </w:t>
      </w:r>
      <w:r w:rsidRPr="00733D08">
        <w:rPr>
          <w:rFonts w:ascii="Arial" w:eastAsia="Arial" w:hAnsi="Arial"/>
          <w:color w:val="002A7C"/>
          <w:sz w:val="16"/>
        </w:rPr>
        <w:t xml:space="preserve">paragraph 8.8 </w:t>
      </w:r>
      <w:r w:rsidRPr="00733D08">
        <w:rPr>
          <w:rFonts w:ascii="Arial" w:eastAsia="Arial" w:hAnsi="Arial"/>
          <w:color w:val="000000"/>
          <w:sz w:val="16"/>
        </w:rPr>
        <w:t>for more details about the rules that apply at that level. A contract notice is required in all cases except</w:t>
      </w:r>
      <w:r w:rsidRPr="00733D08">
        <w:rPr>
          <w:rFonts w:ascii="Arial" w:eastAsia="Arial" w:hAnsi="Arial"/>
          <w:color w:val="002A7C"/>
          <w:sz w:val="16"/>
        </w:rPr>
        <w:t xml:space="preserve"> </w:t>
      </w:r>
      <w:r w:rsidRPr="00733D08">
        <w:rPr>
          <w:rFonts w:ascii="Arial" w:eastAsia="Arial" w:hAnsi="Arial"/>
          <w:color w:val="000000"/>
          <w:sz w:val="16"/>
        </w:rPr>
        <w:t xml:space="preserve">where the circumstances described in </w:t>
      </w:r>
      <w:hyperlink r:id="rId31" w:history="1">
        <w:r w:rsidRPr="00733D08">
          <w:rPr>
            <w:rFonts w:ascii="Arial" w:eastAsia="Arial" w:hAnsi="Arial"/>
            <w:color w:val="002A7C"/>
            <w:sz w:val="16"/>
            <w:u w:val="single"/>
          </w:rPr>
          <w:t>regulation 33 of The Public Contracts (Scotland) Regulations 2015</w:t>
        </w:r>
        <w:r w:rsidRPr="00733D08">
          <w:rPr>
            <w:rFonts w:ascii="Arial" w:eastAsia="Arial" w:hAnsi="Arial"/>
            <w:color w:val="000000"/>
            <w:sz w:val="16"/>
            <w:u w:val="single"/>
          </w:rPr>
          <w:t xml:space="preserve"> </w:t>
        </w:r>
      </w:hyperlink>
    </w:p>
    <w:sectPr w:rsidR="00E3599D" w:rsidRPr="005C14F6" w:rsidSect="00AB54FF">
      <w:headerReference w:type="default" r:id="rId32"/>
      <w:footerReference w:type="default" r:id="rId3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208" w:rsidRDefault="00446208">
      <w:r>
        <w:separator/>
      </w:r>
    </w:p>
  </w:endnote>
  <w:endnote w:type="continuationSeparator" w:id="0">
    <w:p w:rsidR="00446208" w:rsidRDefault="0044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9F" w:rsidRPr="00CC379F" w:rsidRDefault="00CC379F" w:rsidP="00CC379F">
    <w:pPr>
      <w:jc w:val="right"/>
      <w:rPr>
        <w:rFonts w:ascii="Arial" w:eastAsia="Times New Roman" w:hAnsi="Arial"/>
        <w:b/>
        <w:sz w:val="24"/>
        <w:szCs w:val="24"/>
      </w:rPr>
    </w:pPr>
    <w:r w:rsidRPr="00CC379F">
      <w:rPr>
        <w:rFonts w:ascii="Arial" w:hAnsi="Arial"/>
        <w:b/>
        <w:bCs/>
        <w:color w:val="CC3300"/>
        <w:sz w:val="24"/>
        <w:szCs w:val="24"/>
      </w:rPr>
      <w:t>Pr</w:t>
    </w:r>
    <w:r w:rsidRPr="00CC379F">
      <w:rPr>
        <w:rStyle w:val="branding--black"/>
        <w:rFonts w:ascii="Arial" w:hAnsi="Arial"/>
        <w:b/>
        <w:bCs/>
        <w:sz w:val="24"/>
        <w:szCs w:val="24"/>
      </w:rPr>
      <w:t>o</w:t>
    </w:r>
    <w:r w:rsidRPr="00CC379F">
      <w:rPr>
        <w:rFonts w:ascii="Arial" w:hAnsi="Arial"/>
        <w:b/>
        <w:bCs/>
        <w:color w:val="CC3300"/>
        <w:sz w:val="24"/>
        <w:szCs w:val="24"/>
      </w:rPr>
      <w:t>curement J</w:t>
    </w:r>
    <w:r w:rsidRPr="00CC379F">
      <w:rPr>
        <w:rStyle w:val="branding--black"/>
        <w:rFonts w:ascii="Arial" w:hAnsi="Arial"/>
        <w:b/>
        <w:bCs/>
        <w:sz w:val="24"/>
        <w:szCs w:val="24"/>
      </w:rPr>
      <w:t>o</w:t>
    </w:r>
    <w:r w:rsidRPr="00CC379F">
      <w:rPr>
        <w:rFonts w:ascii="Arial" w:hAnsi="Arial"/>
        <w:b/>
        <w:bCs/>
        <w:color w:val="CC3300"/>
        <w:sz w:val="24"/>
        <w:szCs w:val="24"/>
      </w:rPr>
      <w:t>urney</w:t>
    </w:r>
    <w:r w:rsidRPr="00CC379F">
      <w:rPr>
        <w:rFonts w:ascii="Arial" w:hAnsi="Arial"/>
        <w:b/>
        <w:sz w:val="24"/>
        <w:szCs w:val="24"/>
      </w:rPr>
      <w:t xml:space="preserve"> </w:t>
    </w:r>
  </w:p>
  <w:p w:rsidR="003F2479" w:rsidRPr="00CC379F" w:rsidRDefault="003F2479" w:rsidP="00CC379F">
    <w:pPr>
      <w:pStyle w:val="Footer"/>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208" w:rsidRDefault="00446208">
      <w:r>
        <w:separator/>
      </w:r>
    </w:p>
  </w:footnote>
  <w:footnote w:type="continuationSeparator" w:id="0">
    <w:p w:rsidR="00446208" w:rsidRDefault="0044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45"/>
    <w:multiLevelType w:val="hybridMultilevel"/>
    <w:tmpl w:val="4F97E3E4"/>
    <w:lvl w:ilvl="0" w:tplc="FFFFFFFF">
      <w:start w:val="9"/>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6"/>
    <w:multiLevelType w:val="hybridMultilevel"/>
    <w:tmpl w:val="053B0A9E"/>
    <w:lvl w:ilvl="0" w:tplc="FFFFFFFF">
      <w:start w:val="1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6"/>
    <w:multiLevelType w:val="hybridMultilevel"/>
    <w:tmpl w:val="1849C29A"/>
    <w:lvl w:ilvl="0" w:tplc="FFFFFFFF">
      <w:start w:val="17"/>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7"/>
    <w:multiLevelType w:val="hybridMultilevel"/>
    <w:tmpl w:val="7DFF9D08"/>
    <w:lvl w:ilvl="0" w:tplc="FFFFFFFF">
      <w:start w:val="20"/>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AA"/>
    <w:multiLevelType w:val="hybridMultilevel"/>
    <w:tmpl w:val="0BAAC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AB"/>
    <w:multiLevelType w:val="hybridMultilevel"/>
    <w:tmpl w:val="36B2AC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AC"/>
    <w:multiLevelType w:val="hybridMultilevel"/>
    <w:tmpl w:val="779D85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AD"/>
    <w:multiLevelType w:val="hybridMultilevel"/>
    <w:tmpl w:val="4AB26E7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AE"/>
    <w:multiLevelType w:val="hybridMultilevel"/>
    <w:tmpl w:val="21FAA2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AF"/>
    <w:multiLevelType w:val="hybridMultilevel"/>
    <w:tmpl w:val="5451CF4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B0"/>
    <w:multiLevelType w:val="hybridMultilevel"/>
    <w:tmpl w:val="6181EF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B1"/>
    <w:multiLevelType w:val="hybridMultilevel"/>
    <w:tmpl w:val="3E6400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3"/>
  </w:num>
  <w:num w:numId="2">
    <w:abstractNumId w:val="0"/>
  </w:num>
  <w:num w:numId="3">
    <w:abstractNumId w:val="0"/>
  </w:num>
  <w:num w:numId="4">
    <w:abstractNumId w:val="0"/>
  </w:num>
  <w:num w:numId="5">
    <w:abstractNumId w:val="1"/>
  </w:num>
  <w:num w:numId="6">
    <w:abstractNumId w:val="2"/>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3E"/>
    <w:rsid w:val="00100021"/>
    <w:rsid w:val="001267F7"/>
    <w:rsid w:val="00131A91"/>
    <w:rsid w:val="00157346"/>
    <w:rsid w:val="00192DC7"/>
    <w:rsid w:val="001E6362"/>
    <w:rsid w:val="00296347"/>
    <w:rsid w:val="002F3688"/>
    <w:rsid w:val="00350FF3"/>
    <w:rsid w:val="003F2479"/>
    <w:rsid w:val="00411FC4"/>
    <w:rsid w:val="00421C0D"/>
    <w:rsid w:val="00446208"/>
    <w:rsid w:val="005C14F6"/>
    <w:rsid w:val="00621633"/>
    <w:rsid w:val="0067486A"/>
    <w:rsid w:val="006D26F7"/>
    <w:rsid w:val="007A4F3E"/>
    <w:rsid w:val="007C5B35"/>
    <w:rsid w:val="007E369A"/>
    <w:rsid w:val="00870C77"/>
    <w:rsid w:val="008B0A0E"/>
    <w:rsid w:val="00952710"/>
    <w:rsid w:val="009F71B8"/>
    <w:rsid w:val="00A56EBA"/>
    <w:rsid w:val="00A90A53"/>
    <w:rsid w:val="00AB54FF"/>
    <w:rsid w:val="00AC310B"/>
    <w:rsid w:val="00AE01CB"/>
    <w:rsid w:val="00B95313"/>
    <w:rsid w:val="00BD28FC"/>
    <w:rsid w:val="00C86FBA"/>
    <w:rsid w:val="00CC379F"/>
    <w:rsid w:val="00D10C9B"/>
    <w:rsid w:val="00E2166A"/>
    <w:rsid w:val="00E3599D"/>
    <w:rsid w:val="00E36759"/>
    <w:rsid w:val="00E95D45"/>
    <w:rsid w:val="00F16459"/>
    <w:rsid w:val="00F9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FD0E3F"/>
  <w15:docId w15:val="{54276951-FCAE-4260-BFD6-6763745E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F3E"/>
    <w:rPr>
      <w:rFonts w:ascii="Calibri" w:eastAsia="Calibri" w:hAnsi="Calibri" w:cs="Arial"/>
      <w:sz w:val="20"/>
    </w:rPr>
  </w:style>
  <w:style w:type="paragraph" w:styleId="Heading1">
    <w:name w:val="heading 1"/>
    <w:aliases w:val="Outline1"/>
    <w:basedOn w:val="Normal"/>
    <w:next w:val="Normal"/>
    <w:qFormat/>
    <w:rsid w:val="00157346"/>
    <w:pPr>
      <w:numPr>
        <w:numId w:val="4"/>
      </w:numPr>
      <w:tabs>
        <w:tab w:val="left" w:pos="720"/>
        <w:tab w:val="left" w:pos="1440"/>
        <w:tab w:val="left" w:pos="2160"/>
        <w:tab w:val="left" w:pos="2880"/>
        <w:tab w:val="left" w:pos="4680"/>
        <w:tab w:val="left" w:pos="5400"/>
        <w:tab w:val="right" w:pos="9000"/>
      </w:tabs>
      <w:spacing w:line="240" w:lineRule="atLeast"/>
      <w:jc w:val="both"/>
      <w:outlineLvl w:val="0"/>
    </w:pPr>
    <w:rPr>
      <w:rFonts w:ascii="Arial" w:eastAsia="Times New Roman" w:hAnsi="Arial" w:cs="Times New Roman"/>
      <w:kern w:val="24"/>
      <w:sz w:val="24"/>
      <w:lang w:eastAsia="en-US"/>
    </w:rPr>
  </w:style>
  <w:style w:type="paragraph" w:styleId="Heading2">
    <w:name w:val="heading 2"/>
    <w:aliases w:val="Outline2"/>
    <w:basedOn w:val="Normal"/>
    <w:next w:val="Normal"/>
    <w:qFormat/>
    <w:rsid w:val="00157346"/>
    <w:pPr>
      <w:numPr>
        <w:ilvl w:val="1"/>
        <w:numId w:val="4"/>
      </w:numPr>
      <w:tabs>
        <w:tab w:val="left" w:pos="720"/>
        <w:tab w:val="left" w:pos="1440"/>
        <w:tab w:val="left" w:pos="2160"/>
        <w:tab w:val="left" w:pos="2880"/>
        <w:tab w:val="left" w:pos="4680"/>
        <w:tab w:val="left" w:pos="5400"/>
        <w:tab w:val="right" w:pos="9000"/>
      </w:tabs>
      <w:spacing w:line="240" w:lineRule="atLeast"/>
      <w:ind w:left="720"/>
      <w:jc w:val="both"/>
      <w:outlineLvl w:val="1"/>
    </w:pPr>
    <w:rPr>
      <w:rFonts w:ascii="Arial" w:eastAsia="Times New Roman" w:hAnsi="Arial" w:cs="Times New Roman"/>
      <w:kern w:val="24"/>
      <w:sz w:val="24"/>
      <w:lang w:eastAsia="en-US"/>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line="240" w:lineRule="atLeast"/>
      <w:ind w:left="1440"/>
      <w:jc w:val="both"/>
      <w:outlineLvl w:val="2"/>
    </w:pPr>
    <w:rPr>
      <w:rFonts w:ascii="Arial" w:eastAsia="Times New Roman" w:hAnsi="Arial" w:cs="Times New Roman"/>
      <w:kern w:val="24"/>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tabs>
        <w:tab w:val="left" w:pos="720"/>
        <w:tab w:val="left" w:pos="1440"/>
        <w:tab w:val="left" w:pos="2160"/>
        <w:tab w:val="left" w:pos="2880"/>
        <w:tab w:val="left" w:pos="4680"/>
        <w:tab w:val="left" w:pos="5400"/>
        <w:tab w:val="right" w:pos="9000"/>
      </w:tabs>
      <w:spacing w:line="240" w:lineRule="atLeast"/>
      <w:ind w:left="2160"/>
      <w:jc w:val="both"/>
    </w:pPr>
    <w:rPr>
      <w:rFonts w:ascii="Arial" w:eastAsia="Times New Roman" w:hAnsi="Arial" w:cs="Times New Roman"/>
      <w:kern w:val="24"/>
      <w:sz w:val="24"/>
      <w:lang w:eastAsia="en-US"/>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spacing w:line="240" w:lineRule="atLeast"/>
      <w:jc w:val="both"/>
    </w:pPr>
    <w:rPr>
      <w:rFonts w:ascii="Arial" w:eastAsia="Times New Roman" w:hAnsi="Arial" w:cs="Times New Roman"/>
      <w:sz w:val="24"/>
      <w:lang w:eastAsia="en-US"/>
    </w:rPr>
  </w:style>
  <w:style w:type="paragraph" w:styleId="Footer">
    <w:name w:val="footer"/>
    <w:basedOn w:val="Normal"/>
    <w:rsid w:val="0067486A"/>
    <w:pPr>
      <w:tabs>
        <w:tab w:val="center" w:pos="4153"/>
        <w:tab w:val="right" w:pos="8306"/>
      </w:tabs>
      <w:spacing w:line="240" w:lineRule="atLeast"/>
      <w:jc w:val="both"/>
    </w:pPr>
    <w:rPr>
      <w:rFonts w:ascii="Arial" w:eastAsia="Times New Roman" w:hAnsi="Arial" w:cs="Times New Roman"/>
      <w:sz w:val="24"/>
      <w:lang w:eastAsia="en-US"/>
    </w:rPr>
  </w:style>
  <w:style w:type="paragraph" w:styleId="BalloonText">
    <w:name w:val="Balloon Text"/>
    <w:basedOn w:val="Normal"/>
    <w:link w:val="BalloonTextChar"/>
    <w:uiPriority w:val="99"/>
    <w:semiHidden/>
    <w:unhideWhenUsed/>
    <w:rsid w:val="00E2166A"/>
    <w:rPr>
      <w:rFonts w:ascii="Tahoma" w:hAnsi="Tahoma" w:cs="Tahoma"/>
      <w:sz w:val="16"/>
      <w:szCs w:val="16"/>
    </w:rPr>
  </w:style>
  <w:style w:type="character" w:customStyle="1" w:styleId="BalloonTextChar">
    <w:name w:val="Balloon Text Char"/>
    <w:basedOn w:val="DefaultParagraphFont"/>
    <w:link w:val="BalloonText"/>
    <w:uiPriority w:val="99"/>
    <w:semiHidden/>
    <w:rsid w:val="00E2166A"/>
    <w:rPr>
      <w:rFonts w:ascii="Tahoma" w:eastAsia="Calibri" w:hAnsi="Tahoma" w:cs="Tahoma"/>
      <w:sz w:val="16"/>
      <w:szCs w:val="16"/>
    </w:rPr>
  </w:style>
  <w:style w:type="character" w:styleId="Hyperlink">
    <w:name w:val="Hyperlink"/>
    <w:basedOn w:val="DefaultParagraphFont"/>
    <w:uiPriority w:val="99"/>
    <w:unhideWhenUsed/>
    <w:rsid w:val="00F16459"/>
    <w:rPr>
      <w:color w:val="0000FF" w:themeColor="hyperlink"/>
      <w:u w:val="single"/>
    </w:rPr>
  </w:style>
  <w:style w:type="character" w:styleId="FollowedHyperlink">
    <w:name w:val="FollowedHyperlink"/>
    <w:basedOn w:val="DefaultParagraphFont"/>
    <w:uiPriority w:val="99"/>
    <w:semiHidden/>
    <w:unhideWhenUsed/>
    <w:rsid w:val="00F16459"/>
    <w:rPr>
      <w:color w:val="800080" w:themeColor="followedHyperlink"/>
      <w:u w:val="single"/>
    </w:rPr>
  </w:style>
  <w:style w:type="character" w:customStyle="1" w:styleId="branding--black">
    <w:name w:val="branding--black"/>
    <w:basedOn w:val="DefaultParagraphFont"/>
    <w:rsid w:val="00CC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649159">
      <w:bodyDiv w:val="1"/>
      <w:marLeft w:val="0"/>
      <w:marRight w:val="0"/>
      <w:marTop w:val="0"/>
      <w:marBottom w:val="0"/>
      <w:divBdr>
        <w:top w:val="none" w:sz="0" w:space="0" w:color="auto"/>
        <w:left w:val="none" w:sz="0" w:space="0" w:color="auto"/>
        <w:bottom w:val="none" w:sz="0" w:space="0" w:color="auto"/>
        <w:right w:val="none" w:sz="0" w:space="0" w:color="auto"/>
      </w:divBdr>
    </w:div>
    <w:div w:id="829324699">
      <w:bodyDiv w:val="1"/>
      <w:marLeft w:val="0"/>
      <w:marRight w:val="0"/>
      <w:marTop w:val="0"/>
      <w:marBottom w:val="0"/>
      <w:divBdr>
        <w:top w:val="none" w:sz="0" w:space="0" w:color="auto"/>
        <w:left w:val="none" w:sz="0" w:space="0" w:color="auto"/>
        <w:bottom w:val="none" w:sz="0" w:space="0" w:color="auto"/>
        <w:right w:val="none" w:sz="0" w:space="0" w:color="auto"/>
      </w:divBdr>
    </w:div>
    <w:div w:id="122718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ssi/2015/446/contents/made" TargetMode="External"/><Relationship Id="rId13" Type="http://schemas.openxmlformats.org/officeDocument/2006/relationships/hyperlink" Target="http://www.publiccontractsscotland.gov.uk/" TargetMode="External"/><Relationship Id="rId18" Type="http://schemas.openxmlformats.org/officeDocument/2006/relationships/hyperlink" Target="http://www.legislation.gov.uk/asp/2014/12/section/28" TargetMode="External"/><Relationship Id="rId26" Type="http://schemas.openxmlformats.org/officeDocument/2006/relationships/hyperlink" Target="http://www.legislation.gov.uk/asp/2014/12/contents" TargetMode="External"/><Relationship Id="rId3" Type="http://schemas.openxmlformats.org/officeDocument/2006/relationships/styles" Target="styles.xml"/><Relationship Id="rId21" Type="http://schemas.openxmlformats.org/officeDocument/2006/relationships/hyperlink" Target="http://www.legislation.gov.uk/asp/2014/12/section/3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ssi/2015/446/part/3/made" TargetMode="External"/><Relationship Id="rId17" Type="http://schemas.openxmlformats.org/officeDocument/2006/relationships/hyperlink" Target="http://www.legislation.gov.uk/asp/2014/12/section/27" TargetMode="External"/><Relationship Id="rId25" Type="http://schemas.openxmlformats.org/officeDocument/2006/relationships/hyperlink" Target="http://www.legislation.gov.uk/ssi/2015/446/schedule/3/mad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gislation.gov.uk/asp/2014/12/section/23" TargetMode="External"/><Relationship Id="rId20" Type="http://schemas.openxmlformats.org/officeDocument/2006/relationships/hyperlink" Target="http://www.legislation.gov.uk/asp/2014/12/contents"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ssi/2015/446/part/3/made" TargetMode="External"/><Relationship Id="rId24" Type="http://schemas.openxmlformats.org/officeDocument/2006/relationships/hyperlink" Target="http://www.legislation.gov.uk/asp/2014/12/section/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egislation.gov.uk/asp/2014/12/section/12" TargetMode="External"/><Relationship Id="rId23" Type="http://schemas.openxmlformats.org/officeDocument/2006/relationships/hyperlink" Target="http://www.legislation.gov.uk/asp/2014/12/section/30" TargetMode="External"/><Relationship Id="rId28" Type="http://schemas.openxmlformats.org/officeDocument/2006/relationships/image" Target="media/image2.jpeg"/><Relationship Id="rId10" Type="http://schemas.openxmlformats.org/officeDocument/2006/relationships/hyperlink" Target="http://www.legislation.gov.uk/asp/2014/12/contents" TargetMode="External"/><Relationship Id="rId19" Type="http://schemas.openxmlformats.org/officeDocument/2006/relationships/hyperlink" Target="http://www.legislation.gov.uk/asp/2014/12/contents" TargetMode="External"/><Relationship Id="rId31" Type="http://schemas.openxmlformats.org/officeDocument/2006/relationships/hyperlink" Target="http://www.legislation.gov.uk/ssi/2015/446/regulation/33/made" TargetMode="External"/><Relationship Id="rId4" Type="http://schemas.openxmlformats.org/officeDocument/2006/relationships/settings" Target="settings.xml"/><Relationship Id="rId9" Type="http://schemas.openxmlformats.org/officeDocument/2006/relationships/hyperlink" Target="http://www.legislation.gov.uk/asp/2014/12/contents" TargetMode="External"/><Relationship Id="rId14" Type="http://schemas.openxmlformats.org/officeDocument/2006/relationships/hyperlink" Target="http://www.legislation.gov.uk/asp/2014/12/contents" TargetMode="External"/><Relationship Id="rId22" Type="http://schemas.openxmlformats.org/officeDocument/2006/relationships/hyperlink" Target="http://www.legislation.gov.uk/asp/2014/12/section/8" TargetMode="External"/><Relationship Id="rId27" Type="http://schemas.openxmlformats.org/officeDocument/2006/relationships/image" Target="media/image1.jpeg"/><Relationship Id="rId30" Type="http://schemas.openxmlformats.org/officeDocument/2006/relationships/hyperlink" Target="http://www.legislation.gov.uk/ssi/2015/446/contents/mad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A17305798</value>
    </field>
    <field name="Objective-Title">
      <value order="0">Route 3 - Specific Considerations and Rules for C&amp;SS Contracts</value>
    </field>
    <field name="Objective-Description">
      <value order="0"/>
    </field>
    <field name="Objective-CreationStamp">
      <value order="0">2017-03-17T11:55:23Z</value>
    </field>
    <field name="Objective-IsApproved">
      <value order="0">false</value>
    </field>
    <field name="Objective-IsPublished">
      <value order="0">true</value>
    </field>
    <field name="Objective-DatePublished">
      <value order="0">2018-02-20T09:19:06Z</value>
    </field>
    <field name="Objective-ModificationStamp">
      <value order="0">2018-02-20T09:19:10Z</value>
    </field>
    <field name="Objective-Owner">
      <value order="0">Nemeth, Nora N (U440487)</value>
    </field>
    <field name="Objective-Path">
      <value order="0">Objective Global Folder:SG File Plan:Government, politics and public administration:Public administration:Procurement:Advice and policy: Procurement:Procurement Development: Best Practice: New Procurement Journey: Route 3: LIVE from 18 April 2016: 2016-2021</value>
    </field>
    <field name="Objective-Parent">
      <value order="0">Procurement Development: Best Practice: New Procurement Journey: Route 3: LIVE from 18 April 2016: 2016-2021</value>
    </field>
    <field name="Objective-State">
      <value order="0">Published</value>
    </field>
    <field name="Objective-VersionId">
      <value order="0">vA28298512</value>
    </field>
    <field name="Objective-Version">
      <value order="0">3.0</value>
    </field>
    <field name="Objective-VersionNumber">
      <value order="0">3</value>
    </field>
    <field name="Objective-VersionComment">
      <value order="0"/>
    </field>
    <field name="Objective-FileNumber">
      <value order="0">CASE/299655</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1679</Words>
  <Characters>10666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Martin S (Shaw)</cp:lastModifiedBy>
  <cp:revision>4</cp:revision>
  <dcterms:created xsi:type="dcterms:W3CDTF">2020-03-10T11:34:00Z</dcterms:created>
  <dcterms:modified xsi:type="dcterms:W3CDTF">2021-02-01T12:44:00Z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A17305798</vt:lpwstr>
  </property>
  <property fmtid="{D5CDD505-2E9C-101B-9397-08002B2CF9AE}" pid="4" name="Objective-Title">
    <vt:lpwstr>Route 3 - Specific Considerations and Rules for C&amp;SS Contracts</vt:lpwstr>
  </property>
  <property fmtid="{D5CDD505-2E9C-101B-9397-08002B2CF9AE}" pid="5" name="Objective-Comment">
    <vt:lpwstr/>
  </property>
  <property fmtid="{D5CDD505-2E9C-101B-9397-08002B2CF9AE}" pid="6" name="Objective-CreationStamp">
    <vt:filetime>2017-03-17T11:55:23Z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2018-02-20T09:19:06Z</vt:filetime>
  </property>
  <property fmtid="{D5CDD505-2E9C-101B-9397-08002B2CF9AE}" pid="10" name="Objective-ModificationStamp">
    <vt:filetime>2018-02-20T09:19:10Z</vt:filetime>
  </property>
  <property fmtid="{D5CDD505-2E9C-101B-9397-08002B2CF9AE}" pid="11" name="Objective-Owner">
    <vt:lpwstr>Nemeth, Nora N (U440487)</vt:lpwstr>
  </property>
  <property fmtid="{D5CDD505-2E9C-101B-9397-08002B2CF9AE}" pid="12" name="Objective-Path">
    <vt:lpwstr>Objective Global Folder:SG File Plan:Government, politics and public administration:Public administration:Procurement:Advice and policy: Procurement:Procurement Development: Best Practice: New Procurement Journey: Route 3: LIVE from 18 April 2016: 2016-20</vt:lpwstr>
  </property>
  <property fmtid="{D5CDD505-2E9C-101B-9397-08002B2CF9AE}" pid="13" name="Objective-Parent">
    <vt:lpwstr>Procurement Development: Best Practice: New Procurement Journey: Route 3: LIVE from 18 April 2016: 2016-2021</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CASE/299655</vt:lpwstr>
  </property>
  <property fmtid="{D5CDD505-2E9C-101B-9397-08002B2CF9AE}" pid="19" name="Objective-Classification">
    <vt:lpwstr>OFFICIAL-SENSITIVE-COMMERCIAL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vA28298512</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